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C455F" w14:textId="145BBA27" w:rsidR="008F6413" w:rsidRDefault="003B21C9" w:rsidP="003B21C9">
      <w:pPr>
        <w:pStyle w:val="Kop1"/>
      </w:pPr>
      <w:r>
        <w:t>Schriftelijke vraag 2022/39 – Scheepswrakken als cultureel erfgoed</w:t>
      </w:r>
    </w:p>
    <w:p w14:paraId="55149FAB" w14:textId="77777777" w:rsidR="003B21C9" w:rsidRDefault="003B21C9" w:rsidP="003B21C9">
      <w:pPr>
        <w:pStyle w:val="Default"/>
      </w:pPr>
    </w:p>
    <w:p w14:paraId="5DB59883" w14:textId="319CF76E" w:rsidR="003B21C9" w:rsidRDefault="003B21C9" w:rsidP="003B21C9">
      <w:pPr>
        <w:pStyle w:val="Default"/>
        <w:numPr>
          <w:ilvl w:val="0"/>
          <w:numId w:val="1"/>
        </w:numPr>
        <w:rPr>
          <w:sz w:val="22"/>
          <w:szCs w:val="22"/>
        </w:rPr>
      </w:pPr>
      <w:r>
        <w:rPr>
          <w:sz w:val="22"/>
          <w:szCs w:val="22"/>
        </w:rPr>
        <w:t xml:space="preserve">Hoeveel overtredingen op het verbod worden jaarlijks vastgesteld in verband met het cultureel erfgoed in de Noordzee? </w:t>
      </w:r>
    </w:p>
    <w:p w14:paraId="6DCD0795" w14:textId="0CFD6299" w:rsidR="003B21C9" w:rsidRDefault="003B21C9" w:rsidP="003B21C9">
      <w:pPr>
        <w:pStyle w:val="Default"/>
        <w:rPr>
          <w:sz w:val="22"/>
          <w:szCs w:val="22"/>
        </w:rPr>
      </w:pPr>
    </w:p>
    <w:p w14:paraId="6FBC4DCA" w14:textId="69839AFE" w:rsidR="00B26673" w:rsidRPr="002421A4" w:rsidRDefault="00B26673" w:rsidP="003B21C9">
      <w:pPr>
        <w:pStyle w:val="Default"/>
        <w:rPr>
          <w:sz w:val="22"/>
          <w:szCs w:val="22"/>
        </w:rPr>
      </w:pPr>
      <w:r w:rsidRPr="002421A4">
        <w:rPr>
          <w:sz w:val="22"/>
          <w:szCs w:val="22"/>
        </w:rPr>
        <w:t xml:space="preserve">Er is </w:t>
      </w:r>
      <w:r w:rsidR="008C35CB" w:rsidRPr="002421A4">
        <w:rPr>
          <w:sz w:val="22"/>
          <w:szCs w:val="22"/>
        </w:rPr>
        <w:t xml:space="preserve">sinds de inwerkingtreding van de regelgeving op 1 juni 2014 </w:t>
      </w:r>
      <w:r w:rsidRPr="002421A4">
        <w:rPr>
          <w:sz w:val="22"/>
          <w:szCs w:val="22"/>
        </w:rPr>
        <w:t>1 inbreuk vastgesteld op de wetgeving</w:t>
      </w:r>
      <w:r w:rsidR="002421A4">
        <w:rPr>
          <w:sz w:val="22"/>
          <w:szCs w:val="22"/>
        </w:rPr>
        <w:t xml:space="preserve">. Het betrof </w:t>
      </w:r>
      <w:r w:rsidRPr="002421A4">
        <w:rPr>
          <w:sz w:val="22"/>
          <w:szCs w:val="22"/>
        </w:rPr>
        <w:t xml:space="preserve">een recreatief vissersvaartuig dat geankerd had boven het beschermd wrak van de </w:t>
      </w:r>
      <w:r w:rsidR="00A26EF2" w:rsidRPr="002421A4">
        <w:rPr>
          <w:sz w:val="22"/>
          <w:szCs w:val="22"/>
        </w:rPr>
        <w:t xml:space="preserve">SS </w:t>
      </w:r>
      <w:r w:rsidRPr="002421A4">
        <w:rPr>
          <w:sz w:val="22"/>
          <w:szCs w:val="22"/>
        </w:rPr>
        <w:t xml:space="preserve">Kilmore. </w:t>
      </w:r>
      <w:r w:rsidR="002421A4">
        <w:rPr>
          <w:sz w:val="22"/>
          <w:szCs w:val="22"/>
        </w:rPr>
        <w:t>Er</w:t>
      </w:r>
      <w:r w:rsidRPr="002421A4">
        <w:rPr>
          <w:sz w:val="22"/>
          <w:szCs w:val="22"/>
        </w:rPr>
        <w:t xml:space="preserve"> werd een boete opgelegd door de Dienst Administratieve Geldboetes van </w:t>
      </w:r>
      <w:r w:rsidR="00F54D39">
        <w:rPr>
          <w:sz w:val="22"/>
          <w:szCs w:val="22"/>
        </w:rPr>
        <w:t xml:space="preserve">het Directoraat-Generaal </w:t>
      </w:r>
      <w:r w:rsidRPr="002421A4">
        <w:rPr>
          <w:sz w:val="22"/>
          <w:szCs w:val="22"/>
        </w:rPr>
        <w:t>Scheepvaart</w:t>
      </w:r>
    </w:p>
    <w:p w14:paraId="45B35CD6" w14:textId="77777777" w:rsidR="00B26673" w:rsidRDefault="00B26673" w:rsidP="003B21C9">
      <w:pPr>
        <w:pStyle w:val="Default"/>
        <w:rPr>
          <w:sz w:val="22"/>
          <w:szCs w:val="22"/>
        </w:rPr>
      </w:pPr>
    </w:p>
    <w:p w14:paraId="6448D71B" w14:textId="77777777" w:rsidR="003B21C9" w:rsidRDefault="003B21C9" w:rsidP="003B21C9">
      <w:pPr>
        <w:pStyle w:val="Default"/>
        <w:numPr>
          <w:ilvl w:val="0"/>
          <w:numId w:val="1"/>
        </w:numPr>
        <w:rPr>
          <w:sz w:val="22"/>
          <w:szCs w:val="22"/>
        </w:rPr>
      </w:pPr>
      <w:r w:rsidRPr="003B21C9">
        <w:rPr>
          <w:sz w:val="22"/>
          <w:szCs w:val="22"/>
        </w:rPr>
        <w:t>In 2014 werd samen met de Stichting Duurzame Visserijontwikkeling een initiatief rond het opruimen van afval dat rond en aan wrakken blijft hangen ondersteund. De vzw Ecoduikers zet zich vrijwillig in om wrakken voor de kust te ontdoen van visnetten, lijnen, vishaakjes, lood…</w:t>
      </w:r>
    </w:p>
    <w:p w14:paraId="6E20D3D5" w14:textId="143F7066" w:rsidR="003B21C9" w:rsidRPr="008C6DF5" w:rsidRDefault="003B21C9" w:rsidP="003B21C9">
      <w:pPr>
        <w:pStyle w:val="Default"/>
        <w:numPr>
          <w:ilvl w:val="1"/>
          <w:numId w:val="1"/>
        </w:numPr>
        <w:rPr>
          <w:sz w:val="22"/>
          <w:szCs w:val="22"/>
        </w:rPr>
      </w:pPr>
      <w:r w:rsidRPr="003B21C9">
        <w:rPr>
          <w:sz w:val="22"/>
          <w:szCs w:val="22"/>
        </w:rPr>
        <w:t>Wordt dit initiatief nog altijd uitgevoerd?</w:t>
      </w:r>
      <w:r w:rsidRPr="003B21C9">
        <w:rPr>
          <w:rFonts w:ascii="Wingdings" w:hAnsi="Wingdings" w:cs="Wingdings"/>
          <w:sz w:val="22"/>
          <w:szCs w:val="22"/>
        </w:rPr>
        <w:t xml:space="preserve"> </w:t>
      </w:r>
    </w:p>
    <w:p w14:paraId="5F719600" w14:textId="549D02E3" w:rsidR="003D66A5" w:rsidRDefault="008C6DF5" w:rsidP="008C6DF5">
      <w:pPr>
        <w:pStyle w:val="Default"/>
        <w:rPr>
          <w:sz w:val="22"/>
          <w:szCs w:val="22"/>
        </w:rPr>
      </w:pPr>
      <w:r w:rsidRPr="008C6DF5">
        <w:rPr>
          <w:sz w:val="22"/>
          <w:szCs w:val="22"/>
        </w:rPr>
        <w:t xml:space="preserve">In het kader van het federale actieplan marien zwerfvuil werd dit initiatief door de dienst marien milieu verder gezet met de succesvolle opkuis van de West-Hinder waarbij er aan 2.000 kg ijzer, viskorren en kettingen, 1.000 kg vislood en 1.500 kg visnetten en ander plastic afval werden bovengehaald. </w:t>
      </w:r>
    </w:p>
    <w:p w14:paraId="2684AE69" w14:textId="77777777" w:rsidR="00D63CD0" w:rsidRPr="00015703" w:rsidRDefault="00D63CD0" w:rsidP="008C6DF5">
      <w:pPr>
        <w:pStyle w:val="Default"/>
        <w:rPr>
          <w:sz w:val="22"/>
          <w:szCs w:val="22"/>
        </w:rPr>
      </w:pPr>
    </w:p>
    <w:p w14:paraId="368708E4" w14:textId="27DA7397" w:rsidR="004D7035" w:rsidRPr="00015703" w:rsidRDefault="008C6DF5" w:rsidP="00D63CD0">
      <w:pPr>
        <w:pStyle w:val="Default"/>
        <w:rPr>
          <w:sz w:val="22"/>
          <w:szCs w:val="22"/>
        </w:rPr>
      </w:pPr>
      <w:r w:rsidRPr="008C6DF5">
        <w:rPr>
          <w:sz w:val="22"/>
          <w:szCs w:val="22"/>
        </w:rPr>
        <w:t xml:space="preserve">De opzet van de opkuis achter de scheepswrakken is tweeledig: enerzijds aan vissers om te voorkomen dat visnetten in zee terecht komen, en </w:t>
      </w:r>
      <w:r w:rsidR="003D66A5" w:rsidRPr="00015703">
        <w:rPr>
          <w:sz w:val="22"/>
          <w:szCs w:val="22"/>
        </w:rPr>
        <w:t>a</w:t>
      </w:r>
      <w:r w:rsidRPr="008C6DF5">
        <w:rPr>
          <w:sz w:val="22"/>
          <w:szCs w:val="22"/>
        </w:rPr>
        <w:t xml:space="preserve">nderzijds aan iedereen om voorzichtig om te springen met afval, zodat het niet in zee terechtkomt. </w:t>
      </w:r>
    </w:p>
    <w:p w14:paraId="37A974EA" w14:textId="755F4721" w:rsidR="008C6DF5" w:rsidRDefault="008C6DF5" w:rsidP="008C6DF5">
      <w:pPr>
        <w:pStyle w:val="Default"/>
        <w:rPr>
          <w:sz w:val="22"/>
          <w:szCs w:val="22"/>
        </w:rPr>
      </w:pPr>
      <w:r w:rsidRPr="008C6DF5">
        <w:rPr>
          <w:sz w:val="22"/>
          <w:szCs w:val="22"/>
        </w:rPr>
        <w:t xml:space="preserve">Door de wrakken op te kuisen garanderen we bovendien hun functie als schuilplaats en kraamkamer voor het mariene leven. Momenteel loopt de opkuis van een tweede scheepswrak namelijk de </w:t>
      </w:r>
      <w:r w:rsidR="00015703" w:rsidRPr="00015703">
        <w:rPr>
          <w:sz w:val="22"/>
          <w:szCs w:val="22"/>
        </w:rPr>
        <w:t xml:space="preserve">SS </w:t>
      </w:r>
      <w:r w:rsidRPr="008C6DF5">
        <w:rPr>
          <w:sz w:val="22"/>
          <w:szCs w:val="22"/>
        </w:rPr>
        <w:t>Killmore. Initiële schattingen geven aan dat hier zelfs nog meer afval zal worden bovengehaald dan bij de West-Hinder.</w:t>
      </w:r>
      <w:r w:rsidR="007E5BBE">
        <w:rPr>
          <w:sz w:val="22"/>
          <w:szCs w:val="22"/>
        </w:rPr>
        <w:br/>
      </w:r>
    </w:p>
    <w:p w14:paraId="1CAE5B0E" w14:textId="143DD7B9" w:rsidR="003B21C9" w:rsidRDefault="003B21C9" w:rsidP="003B21C9">
      <w:pPr>
        <w:pStyle w:val="Default"/>
        <w:numPr>
          <w:ilvl w:val="1"/>
          <w:numId w:val="1"/>
        </w:numPr>
        <w:rPr>
          <w:sz w:val="22"/>
          <w:szCs w:val="22"/>
        </w:rPr>
      </w:pPr>
      <w:r w:rsidRPr="003B21C9">
        <w:rPr>
          <w:sz w:val="22"/>
          <w:szCs w:val="22"/>
        </w:rPr>
        <w:t xml:space="preserve">Is er een evaluatie van dit initiatief? </w:t>
      </w:r>
    </w:p>
    <w:p w14:paraId="78D89037" w14:textId="77777777" w:rsidR="003D66A5" w:rsidRPr="003D66A5" w:rsidRDefault="003D66A5" w:rsidP="003D66A5">
      <w:pPr>
        <w:pStyle w:val="Default"/>
        <w:rPr>
          <w:sz w:val="22"/>
          <w:szCs w:val="22"/>
        </w:rPr>
      </w:pPr>
      <w:r w:rsidRPr="003D66A5">
        <w:rPr>
          <w:sz w:val="22"/>
          <w:szCs w:val="22"/>
        </w:rPr>
        <w:t>Het wrak van de West-Hinder wordt gemonitord en opgevolgd om een indicatie te verkrijgen van hoe snel het zwerfvuil terug aanzwelt.</w:t>
      </w:r>
    </w:p>
    <w:p w14:paraId="7F5C365A" w14:textId="77777777" w:rsidR="003B21C9" w:rsidRPr="003B21C9" w:rsidRDefault="003B21C9" w:rsidP="003B21C9">
      <w:pPr>
        <w:pStyle w:val="Default"/>
        <w:rPr>
          <w:sz w:val="22"/>
          <w:szCs w:val="22"/>
        </w:rPr>
      </w:pPr>
    </w:p>
    <w:p w14:paraId="67E7F543" w14:textId="680C0368" w:rsidR="003B21C9" w:rsidRDefault="003B21C9" w:rsidP="003B21C9">
      <w:pPr>
        <w:pStyle w:val="Default"/>
        <w:numPr>
          <w:ilvl w:val="0"/>
          <w:numId w:val="1"/>
        </w:numPr>
        <w:rPr>
          <w:sz w:val="22"/>
          <w:szCs w:val="22"/>
        </w:rPr>
      </w:pPr>
      <w:r>
        <w:rPr>
          <w:sz w:val="22"/>
          <w:szCs w:val="22"/>
        </w:rPr>
        <w:t xml:space="preserve">Via de website vondsteninzee.be kunnen vondsten gemeld worden. Hoeveel meldingen waren er de voorbije vijf jaar? </w:t>
      </w:r>
    </w:p>
    <w:p w14:paraId="2FEB9E26" w14:textId="77777777" w:rsidR="003F14D9" w:rsidRDefault="003F14D9" w:rsidP="003F14D9">
      <w:pPr>
        <w:pStyle w:val="Default"/>
        <w:rPr>
          <w:sz w:val="22"/>
          <w:szCs w:val="22"/>
        </w:rPr>
      </w:pPr>
    </w:p>
    <w:p w14:paraId="3F9BD94E" w14:textId="0A27C2F7" w:rsidR="003B21C9" w:rsidRDefault="003F14D9">
      <w:r>
        <w:t>In de tabel is een overzicht weergegeven van de vondsten die gemeld zijn aan de ontvanger van het cultureel erfgoed onder water sinds het in werking treden van de wet betreffende cultureel erfgoed onder water op 1 juni 2014.</w:t>
      </w: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41"/>
      </w:tblGrid>
      <w:tr w:rsidR="00F3382E" w14:paraId="731CD778" w14:textId="77777777" w:rsidTr="00EB7DB7">
        <w:tc>
          <w:tcPr>
            <w:tcW w:w="4531" w:type="dxa"/>
          </w:tcPr>
          <w:p w14:paraId="18B28178" w14:textId="77777777" w:rsidR="00F3382E" w:rsidRPr="00934B48" w:rsidRDefault="00F3382E" w:rsidP="00EB7DB7">
            <w:pPr>
              <w:spacing w:after="240"/>
              <w:contextualSpacing/>
              <w:rPr>
                <w:b/>
              </w:rPr>
            </w:pPr>
            <w:r w:rsidRPr="00934B48">
              <w:rPr>
                <w:b/>
              </w:rPr>
              <w:t>Jaar</w:t>
            </w:r>
          </w:p>
        </w:tc>
        <w:tc>
          <w:tcPr>
            <w:tcW w:w="4541" w:type="dxa"/>
          </w:tcPr>
          <w:p w14:paraId="131DA3AD" w14:textId="77777777" w:rsidR="00F3382E" w:rsidRPr="00934B48" w:rsidRDefault="00F3382E" w:rsidP="00EB7DB7">
            <w:pPr>
              <w:spacing w:after="240"/>
              <w:contextualSpacing/>
              <w:rPr>
                <w:b/>
              </w:rPr>
            </w:pPr>
            <w:r w:rsidRPr="00934B48">
              <w:rPr>
                <w:b/>
              </w:rPr>
              <w:t>Aantal meldingen vondsten</w:t>
            </w:r>
          </w:p>
        </w:tc>
      </w:tr>
      <w:tr w:rsidR="00F3382E" w14:paraId="01F7E8A2" w14:textId="77777777" w:rsidTr="00EB7DB7">
        <w:tc>
          <w:tcPr>
            <w:tcW w:w="4531" w:type="dxa"/>
          </w:tcPr>
          <w:p w14:paraId="34831C91" w14:textId="77777777" w:rsidR="00F3382E" w:rsidRPr="00934B48" w:rsidRDefault="00F3382E" w:rsidP="00EB7DB7">
            <w:pPr>
              <w:spacing w:after="240"/>
              <w:contextualSpacing/>
              <w:rPr>
                <w:b/>
              </w:rPr>
            </w:pPr>
            <w:r w:rsidRPr="00934B48">
              <w:rPr>
                <w:b/>
              </w:rPr>
              <w:t>2014</w:t>
            </w:r>
          </w:p>
        </w:tc>
        <w:tc>
          <w:tcPr>
            <w:tcW w:w="4541" w:type="dxa"/>
          </w:tcPr>
          <w:p w14:paraId="24EBB7D3" w14:textId="77777777" w:rsidR="00F3382E" w:rsidRDefault="00F3382E" w:rsidP="00EB7DB7">
            <w:pPr>
              <w:spacing w:after="240"/>
              <w:contextualSpacing/>
            </w:pPr>
            <w:r>
              <w:t>15</w:t>
            </w:r>
          </w:p>
        </w:tc>
      </w:tr>
      <w:tr w:rsidR="00F3382E" w14:paraId="50E016AA" w14:textId="77777777" w:rsidTr="00EB7DB7">
        <w:tc>
          <w:tcPr>
            <w:tcW w:w="4531" w:type="dxa"/>
          </w:tcPr>
          <w:p w14:paraId="1EA42D33" w14:textId="77777777" w:rsidR="00F3382E" w:rsidRPr="00934B48" w:rsidRDefault="00F3382E" w:rsidP="00EB7DB7">
            <w:pPr>
              <w:spacing w:after="240"/>
              <w:contextualSpacing/>
              <w:rPr>
                <w:b/>
              </w:rPr>
            </w:pPr>
            <w:r w:rsidRPr="00934B48">
              <w:rPr>
                <w:b/>
              </w:rPr>
              <w:t>2015</w:t>
            </w:r>
          </w:p>
        </w:tc>
        <w:tc>
          <w:tcPr>
            <w:tcW w:w="4541" w:type="dxa"/>
          </w:tcPr>
          <w:p w14:paraId="1B66C6AA" w14:textId="77777777" w:rsidR="00F3382E" w:rsidRDefault="00F3382E" w:rsidP="00EB7DB7">
            <w:pPr>
              <w:spacing w:after="240"/>
              <w:contextualSpacing/>
            </w:pPr>
            <w:r>
              <w:t>4</w:t>
            </w:r>
          </w:p>
        </w:tc>
      </w:tr>
      <w:tr w:rsidR="00F3382E" w14:paraId="79198766" w14:textId="77777777" w:rsidTr="00EB7DB7">
        <w:tc>
          <w:tcPr>
            <w:tcW w:w="4531" w:type="dxa"/>
          </w:tcPr>
          <w:p w14:paraId="3FD2465C" w14:textId="77777777" w:rsidR="00F3382E" w:rsidRPr="00934B48" w:rsidRDefault="00F3382E" w:rsidP="00EB7DB7">
            <w:pPr>
              <w:spacing w:after="240"/>
              <w:contextualSpacing/>
              <w:rPr>
                <w:b/>
              </w:rPr>
            </w:pPr>
            <w:r w:rsidRPr="00934B48">
              <w:rPr>
                <w:b/>
              </w:rPr>
              <w:t>2016</w:t>
            </w:r>
          </w:p>
        </w:tc>
        <w:tc>
          <w:tcPr>
            <w:tcW w:w="4541" w:type="dxa"/>
          </w:tcPr>
          <w:p w14:paraId="00E1FFA8" w14:textId="77777777" w:rsidR="00F3382E" w:rsidRDefault="00F3382E" w:rsidP="00EB7DB7">
            <w:pPr>
              <w:spacing w:after="240"/>
              <w:contextualSpacing/>
            </w:pPr>
            <w:r>
              <w:t>3</w:t>
            </w:r>
          </w:p>
        </w:tc>
      </w:tr>
      <w:tr w:rsidR="00F3382E" w14:paraId="4BCB53C4" w14:textId="77777777" w:rsidTr="00EB7DB7">
        <w:tc>
          <w:tcPr>
            <w:tcW w:w="4531" w:type="dxa"/>
          </w:tcPr>
          <w:p w14:paraId="636C5D2C" w14:textId="77777777" w:rsidR="00F3382E" w:rsidRPr="00934B48" w:rsidRDefault="00F3382E" w:rsidP="00EB7DB7">
            <w:pPr>
              <w:spacing w:after="240"/>
              <w:contextualSpacing/>
              <w:rPr>
                <w:b/>
              </w:rPr>
            </w:pPr>
            <w:r w:rsidRPr="00934B48">
              <w:rPr>
                <w:b/>
              </w:rPr>
              <w:t>2017</w:t>
            </w:r>
          </w:p>
        </w:tc>
        <w:tc>
          <w:tcPr>
            <w:tcW w:w="4541" w:type="dxa"/>
          </w:tcPr>
          <w:p w14:paraId="4F3F55CC" w14:textId="77777777" w:rsidR="00F3382E" w:rsidRDefault="00F3382E" w:rsidP="00EB7DB7">
            <w:pPr>
              <w:spacing w:after="240"/>
              <w:contextualSpacing/>
            </w:pPr>
            <w:r>
              <w:t>13</w:t>
            </w:r>
          </w:p>
        </w:tc>
      </w:tr>
      <w:tr w:rsidR="00F3382E" w14:paraId="21AD16CD" w14:textId="77777777" w:rsidTr="00EB7DB7">
        <w:tc>
          <w:tcPr>
            <w:tcW w:w="4531" w:type="dxa"/>
          </w:tcPr>
          <w:p w14:paraId="52596C2E" w14:textId="77777777" w:rsidR="00F3382E" w:rsidRPr="001C41B3" w:rsidRDefault="00F3382E" w:rsidP="00EB7DB7">
            <w:pPr>
              <w:spacing w:after="240"/>
              <w:contextualSpacing/>
              <w:rPr>
                <w:b/>
              </w:rPr>
            </w:pPr>
            <w:r>
              <w:rPr>
                <w:b/>
              </w:rPr>
              <w:t>2018</w:t>
            </w:r>
          </w:p>
        </w:tc>
        <w:tc>
          <w:tcPr>
            <w:tcW w:w="4541" w:type="dxa"/>
          </w:tcPr>
          <w:p w14:paraId="4B9802B7" w14:textId="77777777" w:rsidR="00F3382E" w:rsidRPr="00AE5EF4" w:rsidRDefault="00F3382E" w:rsidP="00EB7DB7">
            <w:pPr>
              <w:spacing w:after="240"/>
              <w:contextualSpacing/>
            </w:pPr>
            <w:r>
              <w:t>3</w:t>
            </w:r>
          </w:p>
        </w:tc>
      </w:tr>
      <w:tr w:rsidR="00F3382E" w14:paraId="1FD24A09" w14:textId="77777777" w:rsidTr="00EB7DB7">
        <w:tc>
          <w:tcPr>
            <w:tcW w:w="4531" w:type="dxa"/>
          </w:tcPr>
          <w:p w14:paraId="085074AB" w14:textId="77777777" w:rsidR="00F3382E" w:rsidRPr="001C41B3" w:rsidRDefault="00F3382E" w:rsidP="00EB7DB7">
            <w:pPr>
              <w:spacing w:after="240"/>
              <w:contextualSpacing/>
              <w:rPr>
                <w:b/>
              </w:rPr>
            </w:pPr>
            <w:r>
              <w:rPr>
                <w:b/>
              </w:rPr>
              <w:t>2019</w:t>
            </w:r>
          </w:p>
        </w:tc>
        <w:tc>
          <w:tcPr>
            <w:tcW w:w="4541" w:type="dxa"/>
          </w:tcPr>
          <w:p w14:paraId="11986E75" w14:textId="77777777" w:rsidR="00F3382E" w:rsidRPr="006F6F8D" w:rsidRDefault="00F3382E" w:rsidP="00EB7DB7">
            <w:pPr>
              <w:spacing w:after="240"/>
              <w:contextualSpacing/>
              <w:rPr>
                <w:bCs/>
              </w:rPr>
            </w:pPr>
            <w:r>
              <w:rPr>
                <w:bCs/>
              </w:rPr>
              <w:t>2</w:t>
            </w:r>
          </w:p>
        </w:tc>
      </w:tr>
      <w:tr w:rsidR="00F3382E" w14:paraId="44E5DE97" w14:textId="77777777" w:rsidTr="00EB7DB7">
        <w:tc>
          <w:tcPr>
            <w:tcW w:w="4531" w:type="dxa"/>
          </w:tcPr>
          <w:p w14:paraId="616EF257" w14:textId="77777777" w:rsidR="00F3382E" w:rsidRPr="001C41B3" w:rsidRDefault="00F3382E" w:rsidP="00EB7DB7">
            <w:pPr>
              <w:spacing w:after="240"/>
              <w:contextualSpacing/>
              <w:rPr>
                <w:b/>
              </w:rPr>
            </w:pPr>
            <w:r>
              <w:rPr>
                <w:b/>
              </w:rPr>
              <w:t>2020</w:t>
            </w:r>
          </w:p>
        </w:tc>
        <w:tc>
          <w:tcPr>
            <w:tcW w:w="4541" w:type="dxa"/>
          </w:tcPr>
          <w:p w14:paraId="7853E0D9" w14:textId="77777777" w:rsidR="00F3382E" w:rsidRPr="00A76F08" w:rsidRDefault="00F3382E" w:rsidP="00EB7DB7">
            <w:pPr>
              <w:spacing w:after="240"/>
              <w:contextualSpacing/>
              <w:rPr>
                <w:bCs/>
              </w:rPr>
            </w:pPr>
            <w:r w:rsidRPr="00A76F08">
              <w:rPr>
                <w:bCs/>
              </w:rPr>
              <w:t>1</w:t>
            </w:r>
          </w:p>
        </w:tc>
      </w:tr>
      <w:tr w:rsidR="00F3382E" w14:paraId="4EA8353A" w14:textId="77777777" w:rsidTr="00EB7DB7">
        <w:tc>
          <w:tcPr>
            <w:tcW w:w="4531" w:type="dxa"/>
          </w:tcPr>
          <w:p w14:paraId="41992723" w14:textId="182F0145" w:rsidR="00F3382E" w:rsidRPr="001C41B3" w:rsidRDefault="007D2028" w:rsidP="00EB7DB7">
            <w:pPr>
              <w:spacing w:after="240"/>
              <w:contextualSpacing/>
              <w:rPr>
                <w:b/>
              </w:rPr>
            </w:pPr>
            <w:r>
              <w:rPr>
                <w:b/>
              </w:rPr>
              <w:t>2021</w:t>
            </w:r>
          </w:p>
        </w:tc>
        <w:tc>
          <w:tcPr>
            <w:tcW w:w="4541" w:type="dxa"/>
          </w:tcPr>
          <w:p w14:paraId="2B7F5337" w14:textId="34306D4A" w:rsidR="00F3382E" w:rsidRPr="00BA2957" w:rsidRDefault="007C2367" w:rsidP="00EB7DB7">
            <w:pPr>
              <w:spacing w:after="240"/>
              <w:contextualSpacing/>
              <w:rPr>
                <w:bCs/>
              </w:rPr>
            </w:pPr>
            <w:r>
              <w:rPr>
                <w:bCs/>
              </w:rPr>
              <w:t>3</w:t>
            </w:r>
          </w:p>
        </w:tc>
      </w:tr>
      <w:tr w:rsidR="007D2028" w14:paraId="401A8562" w14:textId="77777777" w:rsidTr="00EB7DB7">
        <w:tc>
          <w:tcPr>
            <w:tcW w:w="4531" w:type="dxa"/>
          </w:tcPr>
          <w:p w14:paraId="206C45B4" w14:textId="2789D1F9" w:rsidR="007D2028" w:rsidRPr="001C41B3" w:rsidRDefault="007D2028" w:rsidP="007D2028">
            <w:pPr>
              <w:spacing w:after="240"/>
              <w:contextualSpacing/>
              <w:rPr>
                <w:b/>
              </w:rPr>
            </w:pPr>
            <w:r w:rsidRPr="001C41B3">
              <w:rPr>
                <w:b/>
              </w:rPr>
              <w:t>Totaal</w:t>
            </w:r>
          </w:p>
        </w:tc>
        <w:tc>
          <w:tcPr>
            <w:tcW w:w="4541" w:type="dxa"/>
          </w:tcPr>
          <w:p w14:paraId="74BADF6E" w14:textId="3484E83E" w:rsidR="007D2028" w:rsidRDefault="007D2028" w:rsidP="007D2028">
            <w:pPr>
              <w:spacing w:after="240"/>
              <w:contextualSpacing/>
              <w:rPr>
                <w:b/>
              </w:rPr>
            </w:pPr>
            <w:r>
              <w:rPr>
                <w:b/>
              </w:rPr>
              <w:t>4</w:t>
            </w:r>
            <w:r w:rsidR="00BA2957">
              <w:rPr>
                <w:b/>
              </w:rPr>
              <w:t>3</w:t>
            </w:r>
          </w:p>
        </w:tc>
      </w:tr>
    </w:tbl>
    <w:p w14:paraId="712BA493" w14:textId="77777777" w:rsidR="00F3382E" w:rsidRDefault="00F3382E" w:rsidP="007E5BBE"/>
    <w:sectPr w:rsidR="00F33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55376"/>
    <w:multiLevelType w:val="hybridMultilevel"/>
    <w:tmpl w:val="49A23E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4CE4F85"/>
    <w:multiLevelType w:val="hybridMultilevel"/>
    <w:tmpl w:val="E61438D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C9"/>
    <w:rsid w:val="00015703"/>
    <w:rsid w:val="002421A4"/>
    <w:rsid w:val="003B21C9"/>
    <w:rsid w:val="003D66A5"/>
    <w:rsid w:val="003F14D9"/>
    <w:rsid w:val="004B1564"/>
    <w:rsid w:val="004D7035"/>
    <w:rsid w:val="007C2367"/>
    <w:rsid w:val="007D2028"/>
    <w:rsid w:val="007E5BBE"/>
    <w:rsid w:val="008C35CB"/>
    <w:rsid w:val="008C6DF5"/>
    <w:rsid w:val="008F6413"/>
    <w:rsid w:val="00A26EF2"/>
    <w:rsid w:val="00B26673"/>
    <w:rsid w:val="00BA2957"/>
    <w:rsid w:val="00D63CD0"/>
    <w:rsid w:val="00F3382E"/>
    <w:rsid w:val="00F54D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F391"/>
  <w15:chartTrackingRefBased/>
  <w15:docId w15:val="{FB2D9BDB-3336-41D7-AABD-C9466E2C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B2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B21C9"/>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3B21C9"/>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F3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qFormat/>
    <w:rsid w:val="00F3382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888456">
      <w:bodyDiv w:val="1"/>
      <w:marLeft w:val="0"/>
      <w:marRight w:val="0"/>
      <w:marTop w:val="0"/>
      <w:marBottom w:val="0"/>
      <w:divBdr>
        <w:top w:val="none" w:sz="0" w:space="0" w:color="auto"/>
        <w:left w:val="none" w:sz="0" w:space="0" w:color="auto"/>
        <w:bottom w:val="none" w:sz="0" w:space="0" w:color="auto"/>
        <w:right w:val="none" w:sz="0" w:space="0" w:color="auto"/>
      </w:divBdr>
    </w:div>
    <w:div w:id="1192105594">
      <w:bodyDiv w:val="1"/>
      <w:marLeft w:val="0"/>
      <w:marRight w:val="0"/>
      <w:marTop w:val="0"/>
      <w:marBottom w:val="0"/>
      <w:divBdr>
        <w:top w:val="none" w:sz="0" w:space="0" w:color="auto"/>
        <w:left w:val="none" w:sz="0" w:space="0" w:color="auto"/>
        <w:bottom w:val="none" w:sz="0" w:space="0" w:color="auto"/>
        <w:right w:val="none" w:sz="0" w:space="0" w:color="auto"/>
      </w:divBdr>
    </w:div>
    <w:div w:id="1208180161">
      <w:bodyDiv w:val="1"/>
      <w:marLeft w:val="0"/>
      <w:marRight w:val="0"/>
      <w:marTop w:val="0"/>
      <w:marBottom w:val="0"/>
      <w:divBdr>
        <w:top w:val="none" w:sz="0" w:space="0" w:color="auto"/>
        <w:left w:val="none" w:sz="0" w:space="0" w:color="auto"/>
        <w:bottom w:val="none" w:sz="0" w:space="0" w:color="auto"/>
        <w:right w:val="none" w:sz="0" w:space="0" w:color="auto"/>
      </w:divBdr>
    </w:div>
    <w:div w:id="154929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354</Words>
  <Characters>1951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Marey Chris</dc:creator>
  <cp:keywords/>
  <dc:description/>
  <cp:lastModifiedBy>Marey Chris</cp:lastModifiedBy>
  <cp:revision>18</cp:revision>
  <dcterms:created xsi:type="dcterms:W3CDTF">2022-05-05T14:57:00Z</dcterms:created>
  <dcterms:modified xsi:type="dcterms:W3CDTF">2022-05-05T15:15:00Z</dcterms:modified>
</cp:coreProperties>
</file>