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837" w:rsidRPr="007F488D" w:rsidRDefault="00B64837" w:rsidP="00B6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7"/>
          <w:szCs w:val="17"/>
        </w:rPr>
      </w:pPr>
    </w:p>
    <w:p w:rsidR="00B64837" w:rsidRPr="007F488D" w:rsidRDefault="00B64837" w:rsidP="00B6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7"/>
          <w:szCs w:val="17"/>
        </w:rPr>
      </w:pPr>
      <w:r w:rsidRPr="007F488D">
        <w:rPr>
          <w:b/>
          <w:sz w:val="17"/>
          <w:szCs w:val="17"/>
        </w:rPr>
        <w:t xml:space="preserve">AMENDEMENT PROVINCIERAAD </w:t>
      </w:r>
      <w:r w:rsidR="00590307">
        <w:rPr>
          <w:b/>
          <w:sz w:val="17"/>
          <w:szCs w:val="17"/>
        </w:rPr>
        <w:t>26 september 2019</w:t>
      </w:r>
    </w:p>
    <w:p w:rsidR="00B64837" w:rsidRDefault="007F732A" w:rsidP="00B6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7"/>
          <w:szCs w:val="17"/>
        </w:rPr>
      </w:pPr>
      <w:r w:rsidRPr="007F488D">
        <w:rPr>
          <w:b/>
          <w:sz w:val="17"/>
          <w:szCs w:val="17"/>
        </w:rPr>
        <w:t xml:space="preserve">AGENDAPUNT </w:t>
      </w:r>
      <w:r w:rsidR="00590307">
        <w:rPr>
          <w:b/>
          <w:sz w:val="17"/>
          <w:szCs w:val="17"/>
        </w:rPr>
        <w:t>28</w:t>
      </w:r>
    </w:p>
    <w:p w:rsidR="00590307" w:rsidRDefault="00590307" w:rsidP="00B64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17"/>
          <w:szCs w:val="17"/>
        </w:rPr>
      </w:pPr>
    </w:p>
    <w:p w:rsidR="00590307" w:rsidRPr="00590307" w:rsidRDefault="00590307" w:rsidP="0059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7"/>
          <w:szCs w:val="17"/>
        </w:rPr>
      </w:pPr>
      <w:r w:rsidRPr="00590307">
        <w:rPr>
          <w:sz w:val="17"/>
          <w:szCs w:val="17"/>
        </w:rPr>
        <w:t>28</w:t>
      </w:r>
      <w:r>
        <w:rPr>
          <w:sz w:val="17"/>
          <w:szCs w:val="17"/>
        </w:rPr>
        <w:t xml:space="preserve">. </w:t>
      </w:r>
      <w:r w:rsidRPr="00590307">
        <w:rPr>
          <w:sz w:val="17"/>
          <w:szCs w:val="17"/>
        </w:rPr>
        <w:t>Goedkeuren van het provinciaal reglement betreffende de financiële ondersteuning in het kader van</w:t>
      </w:r>
    </w:p>
    <w:p w:rsidR="00590307" w:rsidRPr="00590307" w:rsidRDefault="00590307" w:rsidP="005903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17"/>
          <w:szCs w:val="17"/>
        </w:rPr>
      </w:pPr>
      <w:r w:rsidRPr="00590307">
        <w:rPr>
          <w:sz w:val="17"/>
          <w:szCs w:val="17"/>
        </w:rPr>
        <w:t>een bezoek aan erfgoedlocaties in West-Vlaanderen</w:t>
      </w:r>
    </w:p>
    <w:p w:rsidR="00B64837" w:rsidRPr="007F488D" w:rsidRDefault="00B64837" w:rsidP="00B64837">
      <w:pPr>
        <w:rPr>
          <w:b/>
          <w:sz w:val="17"/>
          <w:szCs w:val="17"/>
        </w:rPr>
      </w:pPr>
    </w:p>
    <w:p w:rsidR="004172F1" w:rsidRDefault="0074236F" w:rsidP="00590307">
      <w:pPr>
        <w:jc w:val="both"/>
        <w:rPr>
          <w:sz w:val="17"/>
          <w:szCs w:val="17"/>
        </w:rPr>
      </w:pPr>
      <w:r w:rsidRPr="0074236F">
        <w:rPr>
          <w:sz w:val="17"/>
          <w:szCs w:val="17"/>
        </w:rPr>
        <w:t xml:space="preserve">In het ontwerp van besluit </w:t>
      </w:r>
      <w:r w:rsidR="00BD32C1">
        <w:rPr>
          <w:sz w:val="17"/>
          <w:szCs w:val="17"/>
        </w:rPr>
        <w:t xml:space="preserve">van de provincieraad </w:t>
      </w:r>
      <w:r w:rsidR="00590307">
        <w:rPr>
          <w:sz w:val="17"/>
          <w:szCs w:val="17"/>
        </w:rPr>
        <w:t xml:space="preserve">van </w:t>
      </w:r>
      <w:r w:rsidR="00590307" w:rsidRPr="00590307">
        <w:rPr>
          <w:b/>
          <w:sz w:val="17"/>
          <w:szCs w:val="17"/>
        </w:rPr>
        <w:t>het provinciaal reglement voor het stimuleren van bezoeken aan erfgoedlocaties en bedrijven in West-Vlaanderen door onderwijsinstellingen, erkende jeugdwerkorganisaties, speelpleinwerkingen en verenigingen waar armen het woord nemen</w:t>
      </w:r>
      <w:r w:rsidR="00590307" w:rsidRPr="00590307">
        <w:rPr>
          <w:sz w:val="17"/>
          <w:szCs w:val="17"/>
        </w:rPr>
        <w:t xml:space="preserve"> </w:t>
      </w:r>
      <w:r w:rsidR="006B6AE7">
        <w:rPr>
          <w:sz w:val="17"/>
          <w:szCs w:val="17"/>
        </w:rPr>
        <w:t xml:space="preserve">wordt </w:t>
      </w:r>
      <w:r w:rsidR="00C05CE3">
        <w:rPr>
          <w:sz w:val="17"/>
          <w:szCs w:val="17"/>
        </w:rPr>
        <w:t xml:space="preserve">deze </w:t>
      </w:r>
      <w:r w:rsidR="006B6AE7">
        <w:rPr>
          <w:sz w:val="17"/>
          <w:szCs w:val="17"/>
        </w:rPr>
        <w:t>als volgt gewijzigd:</w:t>
      </w:r>
      <w:r w:rsidRPr="0074236F">
        <w:rPr>
          <w:sz w:val="17"/>
          <w:szCs w:val="17"/>
        </w:rPr>
        <w:t xml:space="preserve"> </w:t>
      </w:r>
    </w:p>
    <w:p w:rsidR="007479AC" w:rsidRDefault="007479AC" w:rsidP="00590307">
      <w:pPr>
        <w:jc w:val="both"/>
        <w:rPr>
          <w:i/>
          <w:sz w:val="17"/>
          <w:szCs w:val="17"/>
          <w:u w:val="single"/>
        </w:rPr>
      </w:pPr>
      <w:r w:rsidRPr="007479AC">
        <w:rPr>
          <w:i/>
          <w:sz w:val="17"/>
          <w:szCs w:val="17"/>
          <w:u w:val="single"/>
        </w:rPr>
        <w:t>Huidig:</w:t>
      </w:r>
    </w:p>
    <w:p w:rsidR="00DE5F9B" w:rsidRDefault="00DE5F9B" w:rsidP="00590307">
      <w:pPr>
        <w:jc w:val="both"/>
        <w:rPr>
          <w:i/>
          <w:sz w:val="17"/>
          <w:szCs w:val="17"/>
          <w:u w:val="single"/>
        </w:rPr>
      </w:pPr>
    </w:p>
    <w:p w:rsidR="00DE5F9B" w:rsidRDefault="00DE5F9B" w:rsidP="00DE5F9B">
      <w:pPr>
        <w:jc w:val="both"/>
        <w:rPr>
          <w:rFonts w:ascii="Verdana-Bold" w:hAnsi="Verdana-Bold" w:cs="Verdana-Bold"/>
          <w:b/>
          <w:bCs/>
          <w:sz w:val="17"/>
          <w:szCs w:val="17"/>
          <w:lang w:val="nl-BE" w:eastAsia="nl-BE"/>
        </w:rPr>
      </w:pPr>
      <w:r>
        <w:rPr>
          <w:rFonts w:ascii="Verdana-Bold" w:hAnsi="Verdana-Bold" w:cs="Verdana-Bold"/>
          <w:b/>
          <w:bCs/>
          <w:sz w:val="17"/>
          <w:szCs w:val="17"/>
          <w:lang w:val="nl-BE" w:eastAsia="nl-BE"/>
        </w:rPr>
        <w:t xml:space="preserve">Art. </w:t>
      </w:r>
      <w:r>
        <w:rPr>
          <w:rFonts w:ascii="Verdana-Bold" w:hAnsi="Verdana-Bold" w:cs="Verdana-Bold"/>
          <w:b/>
          <w:bCs/>
          <w:sz w:val="17"/>
          <w:szCs w:val="17"/>
          <w:lang w:val="nl-BE" w:eastAsia="nl-BE"/>
        </w:rPr>
        <w:t>2</w:t>
      </w:r>
      <w:r>
        <w:rPr>
          <w:rFonts w:ascii="Verdana-Bold" w:hAnsi="Verdana-Bold" w:cs="Verdana-Bold"/>
          <w:b/>
          <w:bCs/>
          <w:sz w:val="17"/>
          <w:szCs w:val="17"/>
          <w:lang w:val="nl-BE" w:eastAsia="nl-BE"/>
        </w:rPr>
        <w:t>: Financiële ondersteuning</w:t>
      </w:r>
    </w:p>
    <w:p w:rsidR="00DE5F9B" w:rsidRDefault="00DE5F9B" w:rsidP="00DE5F9B">
      <w:p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Met erfgoedlocaties wordt bedoeld: (archeologische) sites, musea, steden, monumenten,</w:t>
      </w:r>
    </w:p>
    <w:p w:rsidR="00DE5F9B" w:rsidRDefault="00DE5F9B" w:rsidP="00DE5F9B">
      <w:p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bezoekerscentra, tentoonstellingen, historische landschappen,… in West-Vlaanderen waar aandacht</w:t>
      </w:r>
    </w:p>
    <w:p w:rsidR="00DE5F9B" w:rsidRDefault="00DE5F9B" w:rsidP="00DE5F9B">
      <w:p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 xml:space="preserve">besteed wordt aan erfgoed. Hiervoor kan geput worden uit de inspiratielijst te vinden op </w:t>
      </w:r>
      <w:r>
        <w:rPr>
          <w:color w:val="0000FF"/>
          <w:sz w:val="17"/>
          <w:szCs w:val="17"/>
          <w:lang w:val="nl-BE" w:eastAsia="nl-BE"/>
        </w:rPr>
        <w:t>www.westvlaanderen.be/erfgoed</w:t>
      </w:r>
      <w:r>
        <w:rPr>
          <w:color w:val="000000"/>
          <w:sz w:val="17"/>
          <w:szCs w:val="17"/>
          <w:lang w:val="nl-BE" w:eastAsia="nl-BE"/>
        </w:rPr>
        <w:t>. Dit is een niet-limitatieve dynamische lijst die verder aangevuld kan worden.</w:t>
      </w:r>
    </w:p>
    <w:p w:rsidR="00DE5F9B" w:rsidRPr="00DE5F9B" w:rsidRDefault="00DE5F9B" w:rsidP="00DE5F9B">
      <w:pPr>
        <w:overflowPunct/>
        <w:spacing w:after="0"/>
        <w:textAlignment w:val="auto"/>
        <w:rPr>
          <w:color w:val="0000FF"/>
          <w:sz w:val="17"/>
          <w:szCs w:val="17"/>
          <w:lang w:val="nl-BE" w:eastAsia="nl-BE"/>
        </w:rPr>
      </w:pPr>
    </w:p>
    <w:p w:rsidR="0074236F" w:rsidRDefault="00D13F24" w:rsidP="00C516C6">
      <w:pPr>
        <w:jc w:val="both"/>
        <w:rPr>
          <w:rFonts w:ascii="Verdana-Bold" w:hAnsi="Verdana-Bold" w:cs="Verdana-Bold"/>
          <w:b/>
          <w:bCs/>
          <w:sz w:val="17"/>
          <w:szCs w:val="17"/>
          <w:lang w:val="nl-BE" w:eastAsia="nl-BE"/>
        </w:rPr>
      </w:pPr>
      <w:r>
        <w:rPr>
          <w:rFonts w:ascii="Verdana-Bold" w:hAnsi="Verdana-Bold" w:cs="Verdana-Bold"/>
          <w:b/>
          <w:bCs/>
          <w:sz w:val="17"/>
          <w:szCs w:val="17"/>
          <w:lang w:val="nl-BE" w:eastAsia="nl-BE"/>
        </w:rPr>
        <w:t>Art. 4: Financiële ondersteuning</w:t>
      </w:r>
    </w:p>
    <w:p w:rsidR="00D13F24" w:rsidRDefault="00D13F24" w:rsidP="00D13F24">
      <w:p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De financiële ondersteuning door de Provincie houdt in:</w:t>
      </w:r>
    </w:p>
    <w:p w:rsidR="00D13F24" w:rsidRPr="00D13F24" w:rsidRDefault="00D13F24" w:rsidP="00D13F24">
      <w:pPr>
        <w:pStyle w:val="Lijstalinea"/>
        <w:numPr>
          <w:ilvl w:val="0"/>
          <w:numId w:val="26"/>
        </w:num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 w:rsidRPr="00D13F24">
        <w:rPr>
          <w:color w:val="000000"/>
          <w:sz w:val="17"/>
          <w:szCs w:val="17"/>
          <w:lang w:val="nl-BE" w:eastAsia="nl-BE"/>
        </w:rPr>
        <w:t>Een tussenkomst van 50 % in de vervoersonkosten. Met vervoerskosten wordt hier bedoeld de</w:t>
      </w:r>
    </w:p>
    <w:p w:rsidR="00D13F24" w:rsidRDefault="00D13F24" w:rsidP="00D13F24">
      <w:pPr>
        <w:overflowPunct/>
        <w:spacing w:after="0"/>
        <w:ind w:firstLine="708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kosten voor het inhuren van een bus. Deze tussenkomst wordt opgetrokken naar 70% voor het</w:t>
      </w:r>
    </w:p>
    <w:p w:rsidR="00D13F24" w:rsidRDefault="00D13F24" w:rsidP="00D13F24">
      <w:pPr>
        <w:overflowPunct/>
        <w:spacing w:after="0"/>
        <w:ind w:left="708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gebruik van het openbaar vervoer of voor de huur van fietsen. Eigen of gratis vervoer worden</w:t>
      </w:r>
    </w:p>
    <w:p w:rsidR="00D13F24" w:rsidRDefault="00D13F24" w:rsidP="00D13F24">
      <w:pPr>
        <w:overflowPunct/>
        <w:spacing w:after="0"/>
        <w:ind w:firstLine="708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niet betoelaagd.</w:t>
      </w:r>
    </w:p>
    <w:p w:rsidR="00D13F24" w:rsidRPr="00D13F24" w:rsidRDefault="00D13F24" w:rsidP="00D13F24">
      <w:pPr>
        <w:pStyle w:val="Lijstalinea"/>
        <w:numPr>
          <w:ilvl w:val="0"/>
          <w:numId w:val="26"/>
        </w:num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 w:rsidRPr="00D13F24">
        <w:rPr>
          <w:color w:val="000000"/>
          <w:sz w:val="17"/>
          <w:szCs w:val="17"/>
          <w:lang w:val="nl-BE" w:eastAsia="nl-BE"/>
        </w:rPr>
        <w:t>Een tussenkomst van 50 % in de eventuele toegangs- of deelnamekosten</w:t>
      </w:r>
    </w:p>
    <w:p w:rsidR="00D13F24" w:rsidRPr="00D13F24" w:rsidRDefault="00D13F24" w:rsidP="00D13F24">
      <w:pPr>
        <w:pStyle w:val="Lijstalinea"/>
        <w:numPr>
          <w:ilvl w:val="0"/>
          <w:numId w:val="26"/>
        </w:num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 w:rsidRPr="00D13F24">
        <w:rPr>
          <w:color w:val="000000"/>
          <w:sz w:val="17"/>
          <w:szCs w:val="17"/>
          <w:lang w:val="nl-BE" w:eastAsia="nl-BE"/>
        </w:rPr>
        <w:t>Een tussenkomst van 50 % in de eventuele kosten voor een gids</w:t>
      </w:r>
    </w:p>
    <w:p w:rsidR="00D13F24" w:rsidRPr="00D13F24" w:rsidRDefault="00D13F24" w:rsidP="00D13F24">
      <w:pPr>
        <w:pStyle w:val="Lijstalinea"/>
        <w:numPr>
          <w:ilvl w:val="0"/>
          <w:numId w:val="26"/>
        </w:num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 w:rsidRPr="00D13F24">
        <w:rPr>
          <w:color w:val="000000"/>
          <w:sz w:val="17"/>
          <w:szCs w:val="17"/>
          <w:lang w:val="nl-BE" w:eastAsia="nl-BE"/>
        </w:rPr>
        <w:t>Een tussenkomst van € 3,00 per persoon in de overnachtingskosten in een erkend West-Vlaams</w:t>
      </w:r>
    </w:p>
    <w:p w:rsidR="00D13F24" w:rsidRDefault="00D13F24" w:rsidP="00D13F24">
      <w:pPr>
        <w:overflowPunct/>
        <w:spacing w:after="0"/>
        <w:ind w:firstLine="708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jeugdverblijfscentrum, voor één overnachting gekoppeld aan het bezoek. De lijst van de West-</w:t>
      </w:r>
    </w:p>
    <w:p w:rsidR="00D13F24" w:rsidRDefault="00D13F24" w:rsidP="00D13F24">
      <w:pPr>
        <w:ind w:left="708"/>
        <w:jc w:val="both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 xml:space="preserve">Vlaamse jeugdverblijfscentra kan gevonden worden op </w:t>
      </w:r>
      <w:hyperlink r:id="rId8" w:history="1">
        <w:r w:rsidR="00DE5F9B" w:rsidRPr="00303981">
          <w:rPr>
            <w:rStyle w:val="Hyperlink"/>
            <w:sz w:val="17"/>
            <w:szCs w:val="17"/>
            <w:lang w:val="nl-BE" w:eastAsia="nl-BE"/>
          </w:rPr>
          <w:t>www.west-vlaanderen.be/erfgoed</w:t>
        </w:r>
      </w:hyperlink>
      <w:r>
        <w:rPr>
          <w:color w:val="000000"/>
          <w:sz w:val="17"/>
          <w:szCs w:val="17"/>
          <w:lang w:val="nl-BE" w:eastAsia="nl-BE"/>
        </w:rPr>
        <w:t>.</w:t>
      </w:r>
    </w:p>
    <w:p w:rsidR="00DE5F9B" w:rsidRDefault="00DE5F9B" w:rsidP="008B32DA">
      <w:pPr>
        <w:jc w:val="both"/>
        <w:rPr>
          <w:color w:val="000000"/>
          <w:sz w:val="17"/>
          <w:szCs w:val="17"/>
          <w:lang w:val="nl-BE" w:eastAsia="nl-BE"/>
        </w:rPr>
      </w:pPr>
    </w:p>
    <w:p w:rsidR="00DE5F9B" w:rsidRDefault="00DE5F9B" w:rsidP="00DE5F9B">
      <w:pPr>
        <w:overflowPunct/>
        <w:spacing w:after="0"/>
        <w:textAlignment w:val="auto"/>
        <w:rPr>
          <w:rFonts w:ascii="Verdana-Bold" w:hAnsi="Verdana-Bold" w:cs="Verdana-Bold"/>
          <w:b/>
          <w:bCs/>
          <w:sz w:val="17"/>
          <w:szCs w:val="17"/>
          <w:lang w:val="nl-BE" w:eastAsia="nl-BE"/>
        </w:rPr>
      </w:pPr>
      <w:r>
        <w:rPr>
          <w:rFonts w:ascii="Verdana-Bold" w:hAnsi="Verdana-Bold" w:cs="Verdana-Bold"/>
          <w:b/>
          <w:bCs/>
          <w:sz w:val="17"/>
          <w:szCs w:val="17"/>
          <w:lang w:val="nl-BE" w:eastAsia="nl-BE"/>
        </w:rPr>
        <w:t>Art. 5: Procedure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5.1.De onder artikel 2 vermelde initiatiefnemers dienen ten laatste één maand voorafgaand aan het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bezoek de aanvraag in bij de dienst Erfgoed van de Provincie.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5.2.De aanvraag gebeurt aan de hand van het daartoe bestemde digitaal ingevulde formulier en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financiële tabel. De aanvraag dient zowel op papier als digitaal bezorgd te worden op het adres zoals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vermeld in het aanvraagformulier. De aanvrager moet bij de aanvraag de voorbereiding en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proofErr w:type="spellStart"/>
      <w:r>
        <w:rPr>
          <w:sz w:val="17"/>
          <w:szCs w:val="17"/>
          <w:lang w:val="nl-BE" w:eastAsia="nl-BE"/>
        </w:rPr>
        <w:t>naverwerking</w:t>
      </w:r>
      <w:proofErr w:type="spellEnd"/>
      <w:r>
        <w:rPr>
          <w:sz w:val="17"/>
          <w:szCs w:val="17"/>
          <w:lang w:val="nl-BE" w:eastAsia="nl-BE"/>
        </w:rPr>
        <w:t xml:space="preserve"> van het bezoek voegen zoals vastgelegd in het bijhorende formulier.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5.3.De aanvrager krijgt een bevestiging van ontvangst en ontvankelijkheid voor betoelaging.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5.4.De aanvrager dient zelf het bezoek, de workshop, rondleiding enzovoort te reserveren bij de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beheerders of uitbaters van de erfgoedlocatie of bij een erkende gids.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5.5.Na het bezoek dient de aanvrager bij de Provincie het daartoe bestemde verslagformulier in en de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nodige bewijsstukken inzake de vervoers-, toegangen, deelname- of gidskosten (officiële facturen,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toegangstickets, vervoerstickets, betaalbewijzen, foto’s van het bezoek aan de erfgoedlocatie en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bewijs provinciale herkenbaarheid) en dit ten laatste twee maanden na het bezoek aan de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erfgoedlocatie.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5.6.De gegevens en de bewijsstukken worden door de provinciale administratie gecontroleerd en per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kwartaal voorgelegd aan de deputatie. De deputatie neemt een beslissing aangaande de uitbetaling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van de financiële ondersteuning.</w:t>
      </w:r>
    </w:p>
    <w:p w:rsidR="00DE5F9B" w:rsidRDefault="00DE5F9B" w:rsidP="00DE5F9B">
      <w:pPr>
        <w:jc w:val="both"/>
        <w:rPr>
          <w:sz w:val="17"/>
          <w:szCs w:val="17"/>
        </w:rPr>
      </w:pPr>
      <w:r>
        <w:rPr>
          <w:sz w:val="17"/>
          <w:szCs w:val="17"/>
          <w:lang w:val="nl-BE" w:eastAsia="nl-BE"/>
        </w:rPr>
        <w:t>5.7.De aanvrager wordt schriftelijk op de hoogte gebracht van deze beslissing.</w:t>
      </w:r>
    </w:p>
    <w:p w:rsidR="009D7BBD" w:rsidRDefault="009D7BBD" w:rsidP="00C516C6">
      <w:pPr>
        <w:jc w:val="both"/>
        <w:rPr>
          <w:sz w:val="17"/>
          <w:szCs w:val="17"/>
        </w:rPr>
      </w:pPr>
    </w:p>
    <w:p w:rsidR="008B32DA" w:rsidRDefault="008B32DA" w:rsidP="00C516C6">
      <w:pPr>
        <w:jc w:val="both"/>
        <w:rPr>
          <w:sz w:val="17"/>
          <w:szCs w:val="17"/>
        </w:rPr>
      </w:pPr>
    </w:p>
    <w:p w:rsidR="008B32DA" w:rsidRDefault="008B32DA" w:rsidP="00C516C6">
      <w:pPr>
        <w:jc w:val="both"/>
        <w:rPr>
          <w:sz w:val="17"/>
          <w:szCs w:val="17"/>
        </w:rPr>
      </w:pPr>
    </w:p>
    <w:p w:rsidR="008B32DA" w:rsidRDefault="008B32DA" w:rsidP="00C516C6">
      <w:pPr>
        <w:jc w:val="both"/>
        <w:rPr>
          <w:sz w:val="17"/>
          <w:szCs w:val="17"/>
        </w:rPr>
      </w:pPr>
    </w:p>
    <w:p w:rsidR="008B32DA" w:rsidRDefault="008B32DA" w:rsidP="00C516C6">
      <w:pPr>
        <w:jc w:val="both"/>
        <w:rPr>
          <w:sz w:val="17"/>
          <w:szCs w:val="17"/>
        </w:rPr>
      </w:pPr>
    </w:p>
    <w:p w:rsidR="008B32DA" w:rsidRDefault="008B32DA" w:rsidP="00C516C6">
      <w:pPr>
        <w:jc w:val="both"/>
        <w:rPr>
          <w:sz w:val="17"/>
          <w:szCs w:val="17"/>
        </w:rPr>
      </w:pPr>
    </w:p>
    <w:p w:rsidR="008B32DA" w:rsidRDefault="008B32DA" w:rsidP="00C516C6">
      <w:pPr>
        <w:jc w:val="both"/>
        <w:rPr>
          <w:sz w:val="17"/>
          <w:szCs w:val="17"/>
        </w:rPr>
      </w:pPr>
    </w:p>
    <w:p w:rsidR="008B32DA" w:rsidRDefault="008B32DA" w:rsidP="00C516C6">
      <w:pPr>
        <w:jc w:val="both"/>
        <w:rPr>
          <w:sz w:val="17"/>
          <w:szCs w:val="17"/>
        </w:rPr>
      </w:pPr>
    </w:p>
    <w:p w:rsidR="007479AC" w:rsidRDefault="007479AC" w:rsidP="00C516C6">
      <w:pPr>
        <w:jc w:val="both"/>
        <w:rPr>
          <w:i/>
          <w:sz w:val="17"/>
          <w:szCs w:val="17"/>
          <w:u w:val="single"/>
        </w:rPr>
      </w:pPr>
      <w:r w:rsidRPr="007479AC">
        <w:rPr>
          <w:i/>
          <w:sz w:val="17"/>
          <w:szCs w:val="17"/>
          <w:u w:val="single"/>
        </w:rPr>
        <w:lastRenderedPageBreak/>
        <w:t>Gewijzigd:</w:t>
      </w:r>
    </w:p>
    <w:p w:rsidR="00DE5F9B" w:rsidRPr="008B32DA" w:rsidRDefault="00DE5F9B" w:rsidP="00DE5F9B">
      <w:pPr>
        <w:jc w:val="both"/>
        <w:rPr>
          <w:rFonts w:ascii="Verdana-Bold" w:hAnsi="Verdana-Bold" w:cs="Verdana-Bold"/>
          <w:b/>
          <w:bCs/>
          <w:sz w:val="17"/>
          <w:szCs w:val="17"/>
          <w:lang w:val="nl-BE" w:eastAsia="nl-BE"/>
        </w:rPr>
      </w:pPr>
      <w:r>
        <w:rPr>
          <w:rFonts w:ascii="Verdana-Bold" w:hAnsi="Verdana-Bold" w:cs="Verdana-Bold"/>
          <w:b/>
          <w:bCs/>
          <w:sz w:val="17"/>
          <w:szCs w:val="17"/>
          <w:lang w:val="nl-BE" w:eastAsia="nl-BE"/>
        </w:rPr>
        <w:t>Art. 2: Financiële ondersteuning</w:t>
      </w:r>
    </w:p>
    <w:p w:rsidR="00DE5F9B" w:rsidRDefault="00DE5F9B" w:rsidP="00DE5F9B">
      <w:p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Met erfgoedlocaties wordt bedoeld: (archeologische) sites, musea, steden, monumenten,</w:t>
      </w:r>
    </w:p>
    <w:p w:rsidR="00DE5F9B" w:rsidRDefault="00DE5F9B" w:rsidP="00DE5F9B">
      <w:p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bezoekerscentra, tentoonstellingen, historische landschappen,… in West-Vlaanderen waar aandacht</w:t>
      </w:r>
    </w:p>
    <w:p w:rsidR="00DE5F9B" w:rsidRP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 xml:space="preserve">besteed wordt aan erfgoed. </w:t>
      </w:r>
      <w:r w:rsidRPr="00DE5F9B">
        <w:rPr>
          <w:b/>
          <w:sz w:val="17"/>
          <w:szCs w:val="17"/>
          <w:lang w:val="nl-BE" w:eastAsia="nl-BE"/>
        </w:rPr>
        <w:t xml:space="preserve">Deze </w:t>
      </w:r>
      <w:r>
        <w:rPr>
          <w:b/>
          <w:sz w:val="17"/>
          <w:szCs w:val="17"/>
          <w:lang w:val="nl-BE" w:eastAsia="nl-BE"/>
        </w:rPr>
        <w:t xml:space="preserve">limitatieve </w:t>
      </w:r>
      <w:r w:rsidRPr="00DE5F9B">
        <w:rPr>
          <w:b/>
          <w:sz w:val="17"/>
          <w:szCs w:val="17"/>
          <w:lang w:val="nl-BE" w:eastAsia="nl-BE"/>
        </w:rPr>
        <w:t>lijst</w:t>
      </w:r>
      <w:r w:rsidRPr="00DE5F9B">
        <w:rPr>
          <w:b/>
          <w:sz w:val="17"/>
          <w:szCs w:val="17"/>
          <w:lang w:val="nl-BE" w:eastAsia="nl-BE"/>
        </w:rPr>
        <w:t xml:space="preserve"> </w:t>
      </w:r>
      <w:r w:rsidRPr="00DE5F9B">
        <w:rPr>
          <w:b/>
          <w:sz w:val="17"/>
          <w:szCs w:val="17"/>
          <w:lang w:val="nl-BE" w:eastAsia="nl-BE"/>
        </w:rPr>
        <w:t>wordt jaarlijks door de deputatie geëvalueerd en aangepast.</w:t>
      </w:r>
    </w:p>
    <w:p w:rsidR="00DE5F9B" w:rsidRPr="007479AC" w:rsidRDefault="00DE5F9B" w:rsidP="00C516C6">
      <w:pPr>
        <w:jc w:val="both"/>
        <w:rPr>
          <w:i/>
          <w:sz w:val="17"/>
          <w:szCs w:val="17"/>
          <w:u w:val="single"/>
        </w:rPr>
      </w:pPr>
    </w:p>
    <w:p w:rsidR="007479AC" w:rsidRDefault="007479AC" w:rsidP="007479AC">
      <w:pPr>
        <w:jc w:val="both"/>
        <w:rPr>
          <w:rFonts w:ascii="Verdana-Bold" w:hAnsi="Verdana-Bold" w:cs="Verdana-Bold"/>
          <w:b/>
          <w:bCs/>
          <w:sz w:val="17"/>
          <w:szCs w:val="17"/>
          <w:lang w:val="nl-BE" w:eastAsia="nl-BE"/>
        </w:rPr>
      </w:pPr>
      <w:r>
        <w:rPr>
          <w:rFonts w:ascii="Verdana-Bold" w:hAnsi="Verdana-Bold" w:cs="Verdana-Bold"/>
          <w:b/>
          <w:bCs/>
          <w:sz w:val="17"/>
          <w:szCs w:val="17"/>
          <w:lang w:val="nl-BE" w:eastAsia="nl-BE"/>
        </w:rPr>
        <w:t>Art. 4: Financiële ondersteuning</w:t>
      </w:r>
    </w:p>
    <w:p w:rsidR="007479AC" w:rsidRDefault="007479AC" w:rsidP="007479AC">
      <w:p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De financiële ondersteuning door de Provincie houdt in:</w:t>
      </w:r>
    </w:p>
    <w:p w:rsidR="007479AC" w:rsidRPr="00D13F24" w:rsidRDefault="007479AC" w:rsidP="007479AC">
      <w:pPr>
        <w:pStyle w:val="Lijstalinea"/>
        <w:numPr>
          <w:ilvl w:val="0"/>
          <w:numId w:val="26"/>
        </w:num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 w:rsidRPr="00D13F24">
        <w:rPr>
          <w:color w:val="000000"/>
          <w:sz w:val="17"/>
          <w:szCs w:val="17"/>
          <w:lang w:val="nl-BE" w:eastAsia="nl-BE"/>
        </w:rPr>
        <w:t>Een tussenkomst van 50 % in de vervoersonkosten. Met vervoerskosten wordt hier bedoeld de</w:t>
      </w:r>
    </w:p>
    <w:p w:rsidR="007479AC" w:rsidRDefault="007479AC" w:rsidP="007479AC">
      <w:pPr>
        <w:overflowPunct/>
        <w:spacing w:after="0"/>
        <w:ind w:firstLine="708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kosten voor het inhuren van een bus. Deze tussenkomst wordt opgetrokken naar 70% voor het</w:t>
      </w:r>
    </w:p>
    <w:p w:rsidR="007479AC" w:rsidRDefault="007479AC" w:rsidP="007479AC">
      <w:pPr>
        <w:overflowPunct/>
        <w:spacing w:after="0"/>
        <w:ind w:left="708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gebruik van het openbaar vervoer of voor de huur van fietsen. Eigen of gratis vervoer worden</w:t>
      </w:r>
    </w:p>
    <w:p w:rsidR="007479AC" w:rsidRDefault="007479AC" w:rsidP="007479AC">
      <w:pPr>
        <w:overflowPunct/>
        <w:spacing w:after="0"/>
        <w:ind w:firstLine="708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 xml:space="preserve">niet betoelaagd. </w:t>
      </w:r>
      <w:r w:rsidRPr="00D13F24">
        <w:rPr>
          <w:b/>
          <w:color w:val="000000"/>
          <w:sz w:val="17"/>
          <w:szCs w:val="17"/>
          <w:lang w:val="nl-BE" w:eastAsia="nl-BE"/>
        </w:rPr>
        <w:t>De vervoersonkosten gelden enkel voor het traject in West-Vlaanderen.</w:t>
      </w:r>
    </w:p>
    <w:p w:rsidR="007479AC" w:rsidRPr="00D13F24" w:rsidRDefault="007479AC" w:rsidP="007479AC">
      <w:pPr>
        <w:pStyle w:val="Lijstalinea"/>
        <w:numPr>
          <w:ilvl w:val="0"/>
          <w:numId w:val="26"/>
        </w:num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 w:rsidRPr="00D13F24">
        <w:rPr>
          <w:color w:val="000000"/>
          <w:sz w:val="17"/>
          <w:szCs w:val="17"/>
          <w:lang w:val="nl-BE" w:eastAsia="nl-BE"/>
        </w:rPr>
        <w:t>Een tussenkomst van 50 % in de eventuele toegangs- of deelnamekosten</w:t>
      </w:r>
    </w:p>
    <w:p w:rsidR="007479AC" w:rsidRPr="00D13F24" w:rsidRDefault="007479AC" w:rsidP="007479AC">
      <w:pPr>
        <w:pStyle w:val="Lijstalinea"/>
        <w:numPr>
          <w:ilvl w:val="0"/>
          <w:numId w:val="26"/>
        </w:num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 w:rsidRPr="00D13F24">
        <w:rPr>
          <w:color w:val="000000"/>
          <w:sz w:val="17"/>
          <w:szCs w:val="17"/>
          <w:lang w:val="nl-BE" w:eastAsia="nl-BE"/>
        </w:rPr>
        <w:t>Een tussenkomst van 50 % in de eventuele kosten voor een gids</w:t>
      </w:r>
    </w:p>
    <w:p w:rsidR="007479AC" w:rsidRPr="00D13F24" w:rsidRDefault="007479AC" w:rsidP="007479AC">
      <w:pPr>
        <w:pStyle w:val="Lijstalinea"/>
        <w:numPr>
          <w:ilvl w:val="0"/>
          <w:numId w:val="26"/>
        </w:numPr>
        <w:overflowPunct/>
        <w:spacing w:after="0"/>
        <w:textAlignment w:val="auto"/>
        <w:rPr>
          <w:color w:val="000000"/>
          <w:sz w:val="17"/>
          <w:szCs w:val="17"/>
          <w:lang w:val="nl-BE" w:eastAsia="nl-BE"/>
        </w:rPr>
      </w:pPr>
      <w:r w:rsidRPr="00D13F24">
        <w:rPr>
          <w:color w:val="000000"/>
          <w:sz w:val="17"/>
          <w:szCs w:val="17"/>
          <w:lang w:val="nl-BE" w:eastAsia="nl-BE"/>
        </w:rPr>
        <w:t>Een tussenkomst van € 3,00 per persoon in de overnachtingskosten in een erkend West-Vlaams</w:t>
      </w:r>
    </w:p>
    <w:p w:rsidR="007479AC" w:rsidRDefault="007479AC" w:rsidP="007479AC">
      <w:pPr>
        <w:overflowPunct/>
        <w:spacing w:after="0"/>
        <w:ind w:firstLine="708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jeugdverblijfscentrum, voor één overnachting gekoppeld aan het bezoek. De lijst van de West-</w:t>
      </w:r>
    </w:p>
    <w:p w:rsidR="007479AC" w:rsidRDefault="007479AC" w:rsidP="007479AC">
      <w:pPr>
        <w:ind w:left="708"/>
        <w:jc w:val="both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 xml:space="preserve">Vlaamse jeugdverblijfscentra kan gevonden worden op </w:t>
      </w:r>
      <w:hyperlink r:id="rId9" w:history="1">
        <w:r w:rsidR="00DE5F9B" w:rsidRPr="00303981">
          <w:rPr>
            <w:rStyle w:val="Hyperlink"/>
            <w:sz w:val="17"/>
            <w:szCs w:val="17"/>
            <w:lang w:val="nl-BE" w:eastAsia="nl-BE"/>
          </w:rPr>
          <w:t>www.west-vlaanderen.be/erfgoed</w:t>
        </w:r>
      </w:hyperlink>
      <w:r>
        <w:rPr>
          <w:color w:val="000000"/>
          <w:sz w:val="17"/>
          <w:szCs w:val="17"/>
          <w:lang w:val="nl-BE" w:eastAsia="nl-BE"/>
        </w:rPr>
        <w:t>.</w:t>
      </w:r>
    </w:p>
    <w:p w:rsidR="00DE5F9B" w:rsidRDefault="00DE5F9B" w:rsidP="008B32DA">
      <w:pPr>
        <w:jc w:val="both"/>
        <w:rPr>
          <w:color w:val="000000"/>
          <w:sz w:val="17"/>
          <w:szCs w:val="17"/>
          <w:lang w:val="nl-BE" w:eastAsia="nl-BE"/>
        </w:rPr>
      </w:pPr>
    </w:p>
    <w:p w:rsidR="00DE5F9B" w:rsidRDefault="00DE5F9B" w:rsidP="00DE5F9B">
      <w:pPr>
        <w:overflowPunct/>
        <w:spacing w:after="0"/>
        <w:textAlignment w:val="auto"/>
        <w:rPr>
          <w:rFonts w:ascii="Verdana-Bold" w:hAnsi="Verdana-Bold" w:cs="Verdana-Bold"/>
          <w:b/>
          <w:bCs/>
          <w:sz w:val="17"/>
          <w:szCs w:val="17"/>
          <w:lang w:val="nl-BE" w:eastAsia="nl-BE"/>
        </w:rPr>
      </w:pPr>
      <w:r>
        <w:rPr>
          <w:rFonts w:ascii="Verdana-Bold" w:hAnsi="Verdana-Bold" w:cs="Verdana-Bold"/>
          <w:b/>
          <w:bCs/>
          <w:sz w:val="17"/>
          <w:szCs w:val="17"/>
          <w:lang w:val="nl-BE" w:eastAsia="nl-BE"/>
        </w:rPr>
        <w:t>Art. 5: Procedure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5.1.De onder artikel 2 vermelde initiatiefnemers dienen ten laatste één maand voorafgaand aan het</w:t>
      </w:r>
    </w:p>
    <w:p w:rsidR="00DE5F9B" w:rsidRDefault="00DE5F9B" w:rsidP="008B32DA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bezoek de aanvraag in bij de dienst Erfgoed van de Provincie.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5.2.De aanvraag gebeurt aan de hand van het daartoe bestemde digitaal ingevulde formulier en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financiële tabel. De aanvraag dient zowel op papier als digitaal bezorgd te worden op het adres zoals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vermeld in het aanvraagformulier. De aanvrager moet bij de aanvraag de voorbereiding en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proofErr w:type="spellStart"/>
      <w:r>
        <w:rPr>
          <w:sz w:val="17"/>
          <w:szCs w:val="17"/>
          <w:lang w:val="nl-BE" w:eastAsia="nl-BE"/>
        </w:rPr>
        <w:t>naverwerking</w:t>
      </w:r>
      <w:proofErr w:type="spellEnd"/>
      <w:r>
        <w:rPr>
          <w:sz w:val="17"/>
          <w:szCs w:val="17"/>
          <w:lang w:val="nl-BE" w:eastAsia="nl-BE"/>
        </w:rPr>
        <w:t xml:space="preserve"> van het bezoek voegen zoals vastgelegd in het bijhorende formulier.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5.3.De aanvrager krijgt een bevestiging van ontvangst en ontvankelijkheid voor betoelaging.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5.4.De aanvrager dient zelf het bezoek, de workshop, rondleiding enzovoort te reserveren bij de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beheerders of uitbaters van de erfgoedlocatie of bij een erkende gids.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5.5.Na het bezoek dient de aanvrager bij de Provincie het daartoe bestemde verslagformulier in en de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nodige bewijsstukken inzake de vervoers-, toegangen, deelname- of gidskosten (officiële facturen,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toegangstickets, vervoerstickets, betaalbewijzen, foto’s van het bezoek aan de erfgoedlocatie en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bewijs provinciale herkenbaarheid)</w:t>
      </w:r>
      <w:r w:rsidR="008B32DA">
        <w:rPr>
          <w:sz w:val="17"/>
          <w:szCs w:val="17"/>
          <w:lang w:val="nl-BE" w:eastAsia="nl-BE"/>
        </w:rPr>
        <w:t xml:space="preserve"> en </w:t>
      </w:r>
      <w:r>
        <w:rPr>
          <w:sz w:val="17"/>
          <w:szCs w:val="17"/>
          <w:lang w:val="nl-BE" w:eastAsia="nl-BE"/>
        </w:rPr>
        <w:t>dit ten laatste twee maanden na het bezoek aan de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erfgoedlocatie.</w:t>
      </w:r>
      <w:r w:rsidR="008B32DA">
        <w:rPr>
          <w:sz w:val="17"/>
          <w:szCs w:val="17"/>
          <w:lang w:val="nl-BE" w:eastAsia="nl-BE"/>
        </w:rPr>
        <w:t xml:space="preserve"> </w:t>
      </w:r>
      <w:r w:rsidR="008B32DA" w:rsidRPr="008B32DA">
        <w:rPr>
          <w:b/>
          <w:color w:val="000000"/>
          <w:sz w:val="17"/>
          <w:szCs w:val="17"/>
          <w:lang w:val="nl-BE" w:eastAsia="nl-BE"/>
        </w:rPr>
        <w:t>Het bezoek aan één van deze locaties van deze lijst dient ook steeds gestaafd te worden door een ondertekend formulier van de gids of verantwoordelijke</w:t>
      </w:r>
      <w:r w:rsidR="008B32DA" w:rsidRPr="008B32DA">
        <w:rPr>
          <w:b/>
          <w:color w:val="000000"/>
          <w:sz w:val="17"/>
          <w:szCs w:val="17"/>
          <w:lang w:val="nl-BE" w:eastAsia="nl-BE"/>
        </w:rPr>
        <w:t>.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5.6.De gegevens en de bewijsstukken worden door de provinciale administratie gecontroleerd en per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kwartaal voorgelegd aan de deputatie. De deputatie neemt een beslissing aangaande de uitbetaling</w:t>
      </w:r>
    </w:p>
    <w:p w:rsidR="00DE5F9B" w:rsidRDefault="00DE5F9B" w:rsidP="00DE5F9B">
      <w:pPr>
        <w:overflowPunct/>
        <w:spacing w:after="0"/>
        <w:textAlignment w:val="auto"/>
        <w:rPr>
          <w:sz w:val="17"/>
          <w:szCs w:val="17"/>
          <w:lang w:val="nl-BE" w:eastAsia="nl-BE"/>
        </w:rPr>
      </w:pPr>
      <w:r>
        <w:rPr>
          <w:sz w:val="17"/>
          <w:szCs w:val="17"/>
          <w:lang w:val="nl-BE" w:eastAsia="nl-BE"/>
        </w:rPr>
        <w:t>van de financiële ondersteuning.</w:t>
      </w:r>
    </w:p>
    <w:p w:rsidR="00DE5F9B" w:rsidRDefault="00DE5F9B" w:rsidP="00DE5F9B">
      <w:pPr>
        <w:jc w:val="both"/>
        <w:rPr>
          <w:sz w:val="17"/>
          <w:szCs w:val="17"/>
        </w:rPr>
      </w:pPr>
      <w:r>
        <w:rPr>
          <w:sz w:val="17"/>
          <w:szCs w:val="17"/>
          <w:lang w:val="nl-BE" w:eastAsia="nl-BE"/>
        </w:rPr>
        <w:t>5.7.De aanvrager wordt schriftelijk op de hoogte gebracht van deze beslissing.</w:t>
      </w:r>
    </w:p>
    <w:p w:rsidR="00D86739" w:rsidRDefault="00D86739" w:rsidP="0013622A">
      <w:pPr>
        <w:jc w:val="both"/>
        <w:rPr>
          <w:sz w:val="17"/>
          <w:szCs w:val="17"/>
        </w:rPr>
      </w:pPr>
    </w:p>
    <w:p w:rsidR="00DE5F9B" w:rsidRPr="007F488D" w:rsidRDefault="00DE5F9B" w:rsidP="0013622A">
      <w:pPr>
        <w:jc w:val="both"/>
        <w:rPr>
          <w:sz w:val="17"/>
          <w:szCs w:val="17"/>
        </w:rPr>
      </w:pPr>
    </w:p>
    <w:p w:rsidR="00D13F24" w:rsidRPr="008B32DA" w:rsidRDefault="00B64837" w:rsidP="008B32DA">
      <w:pPr>
        <w:rPr>
          <w:b/>
          <w:sz w:val="17"/>
          <w:szCs w:val="17"/>
        </w:rPr>
      </w:pPr>
      <w:r w:rsidRPr="007F488D">
        <w:rPr>
          <w:b/>
          <w:sz w:val="17"/>
          <w:szCs w:val="17"/>
        </w:rPr>
        <w:t>TOELICHTING</w:t>
      </w:r>
    </w:p>
    <w:p w:rsidR="00D13F24" w:rsidRDefault="00D13F24" w:rsidP="00C05CE3">
      <w:pPr>
        <w:overflowPunct/>
        <w:spacing w:after="0"/>
        <w:jc w:val="both"/>
        <w:textAlignment w:val="auto"/>
        <w:rPr>
          <w:color w:val="000000"/>
          <w:sz w:val="17"/>
          <w:szCs w:val="17"/>
          <w:lang w:val="nl-BE" w:eastAsia="nl-BE"/>
        </w:rPr>
      </w:pPr>
      <w:r w:rsidRPr="00C05CE3">
        <w:rPr>
          <w:color w:val="000000"/>
          <w:sz w:val="17"/>
          <w:szCs w:val="17"/>
          <w:lang w:val="nl-BE" w:eastAsia="nl-BE"/>
        </w:rPr>
        <w:t xml:space="preserve">West-Vlaamse onderwijsinstellingen, erkende jeugdwerkorganisaties, speelpleinwerkingen en verenigingen waar armen het woord nemen </w:t>
      </w:r>
      <w:r w:rsidR="008A626D" w:rsidRPr="00C05CE3">
        <w:rPr>
          <w:color w:val="000000"/>
          <w:sz w:val="17"/>
          <w:szCs w:val="17"/>
          <w:lang w:val="nl-BE" w:eastAsia="nl-BE"/>
        </w:rPr>
        <w:t>moeten zeker door middel van een financiële ondersteuning aangemoedigd worden</w:t>
      </w:r>
      <w:r w:rsidRPr="00C05CE3">
        <w:rPr>
          <w:color w:val="000000"/>
          <w:sz w:val="17"/>
          <w:szCs w:val="17"/>
          <w:lang w:val="nl-BE" w:eastAsia="nl-BE"/>
        </w:rPr>
        <w:t xml:space="preserve"> om een bezoek te brengen aan erfgoedlocaties en bedrijven in West-Vlaanderen.</w:t>
      </w:r>
      <w:r w:rsidR="008A626D" w:rsidRPr="00C05CE3">
        <w:rPr>
          <w:color w:val="000000"/>
          <w:sz w:val="17"/>
          <w:szCs w:val="17"/>
          <w:lang w:val="nl-BE" w:eastAsia="nl-BE"/>
        </w:rPr>
        <w:t xml:space="preserve"> </w:t>
      </w:r>
    </w:p>
    <w:p w:rsidR="00DE5F9B" w:rsidRDefault="00DE5F9B" w:rsidP="00C05CE3">
      <w:pPr>
        <w:overflowPunct/>
        <w:spacing w:after="0"/>
        <w:jc w:val="both"/>
        <w:textAlignment w:val="auto"/>
        <w:rPr>
          <w:color w:val="000000"/>
          <w:sz w:val="17"/>
          <w:szCs w:val="17"/>
          <w:lang w:val="nl-BE" w:eastAsia="nl-BE"/>
        </w:rPr>
      </w:pPr>
    </w:p>
    <w:p w:rsidR="00DE5F9B" w:rsidRPr="00C05CE3" w:rsidRDefault="00DE5F9B" w:rsidP="00C05CE3">
      <w:pPr>
        <w:overflowPunct/>
        <w:spacing w:after="0"/>
        <w:jc w:val="both"/>
        <w:textAlignment w:val="auto"/>
        <w:rPr>
          <w:color w:val="000000"/>
          <w:sz w:val="17"/>
          <w:szCs w:val="17"/>
          <w:lang w:val="nl-BE" w:eastAsia="nl-BE"/>
        </w:rPr>
      </w:pPr>
      <w:r>
        <w:rPr>
          <w:color w:val="000000"/>
          <w:sz w:val="17"/>
          <w:szCs w:val="17"/>
          <w:lang w:val="nl-BE" w:eastAsia="nl-BE"/>
        </w:rPr>
        <w:t>Deze lijst wordt limitatief gemaakt. Het bezoek aan één van deze locaties van deze lijst dient ook steeds gestaafd te worden door een ondertekend formulier van de gids of verantwoordelijke.</w:t>
      </w:r>
      <w:r w:rsidR="008B32DA">
        <w:rPr>
          <w:color w:val="000000"/>
          <w:sz w:val="17"/>
          <w:szCs w:val="17"/>
          <w:lang w:val="nl-BE" w:eastAsia="nl-BE"/>
        </w:rPr>
        <w:t xml:space="preserve"> Dit</w:t>
      </w:r>
      <w:r>
        <w:rPr>
          <w:color w:val="000000"/>
          <w:sz w:val="17"/>
          <w:szCs w:val="17"/>
          <w:lang w:val="nl-BE" w:eastAsia="nl-BE"/>
        </w:rPr>
        <w:t xml:space="preserve"> </w:t>
      </w:r>
      <w:r w:rsidR="008B32DA">
        <w:rPr>
          <w:color w:val="000000"/>
          <w:sz w:val="17"/>
          <w:szCs w:val="17"/>
          <w:lang w:val="nl-BE" w:eastAsia="nl-BE"/>
        </w:rPr>
        <w:t>o</w:t>
      </w:r>
      <w:r>
        <w:rPr>
          <w:color w:val="000000"/>
          <w:sz w:val="17"/>
          <w:szCs w:val="17"/>
          <w:lang w:val="nl-BE" w:eastAsia="nl-BE"/>
        </w:rPr>
        <w:t xml:space="preserve">m duidelijkheid te </w:t>
      </w:r>
      <w:r w:rsidR="008B32DA">
        <w:rPr>
          <w:color w:val="000000"/>
          <w:sz w:val="17"/>
          <w:szCs w:val="17"/>
          <w:lang w:val="nl-BE" w:eastAsia="nl-BE"/>
        </w:rPr>
        <w:t>scheppen</w:t>
      </w:r>
      <w:r>
        <w:rPr>
          <w:color w:val="000000"/>
          <w:sz w:val="17"/>
          <w:szCs w:val="17"/>
          <w:lang w:val="nl-BE" w:eastAsia="nl-BE"/>
        </w:rPr>
        <w:t xml:space="preserve"> om welke locatie het gaat en</w:t>
      </w:r>
      <w:r w:rsidR="008B32DA">
        <w:rPr>
          <w:color w:val="000000"/>
          <w:sz w:val="17"/>
          <w:szCs w:val="17"/>
          <w:lang w:val="nl-BE" w:eastAsia="nl-BE"/>
        </w:rPr>
        <w:t xml:space="preserve"> om</w:t>
      </w:r>
      <w:bookmarkStart w:id="0" w:name="_GoBack"/>
      <w:bookmarkEnd w:id="0"/>
      <w:r>
        <w:rPr>
          <w:color w:val="000000"/>
          <w:sz w:val="17"/>
          <w:szCs w:val="17"/>
          <w:lang w:val="nl-BE" w:eastAsia="nl-BE"/>
        </w:rPr>
        <w:t xml:space="preserve"> misbruik te vermijden (artikel 2</w:t>
      </w:r>
      <w:r w:rsidR="008B32DA">
        <w:rPr>
          <w:color w:val="000000"/>
          <w:sz w:val="17"/>
          <w:szCs w:val="17"/>
          <w:lang w:val="nl-BE" w:eastAsia="nl-BE"/>
        </w:rPr>
        <w:t xml:space="preserve"> &amp; 5</w:t>
      </w:r>
      <w:r>
        <w:rPr>
          <w:color w:val="000000"/>
          <w:sz w:val="17"/>
          <w:szCs w:val="17"/>
          <w:lang w:val="nl-BE" w:eastAsia="nl-BE"/>
        </w:rPr>
        <w:t>)</w:t>
      </w:r>
      <w:r w:rsidR="008B32DA">
        <w:rPr>
          <w:color w:val="000000"/>
          <w:sz w:val="17"/>
          <w:szCs w:val="17"/>
          <w:lang w:val="nl-BE" w:eastAsia="nl-BE"/>
        </w:rPr>
        <w:t>.</w:t>
      </w:r>
    </w:p>
    <w:p w:rsidR="00C05CE3" w:rsidRDefault="00C05CE3" w:rsidP="00C05CE3">
      <w:pPr>
        <w:overflowPunct/>
        <w:spacing w:after="0"/>
        <w:jc w:val="both"/>
        <w:textAlignment w:val="auto"/>
        <w:rPr>
          <w:color w:val="000000"/>
          <w:sz w:val="17"/>
          <w:szCs w:val="17"/>
          <w:lang w:val="nl-BE" w:eastAsia="nl-BE"/>
        </w:rPr>
      </w:pPr>
    </w:p>
    <w:p w:rsidR="008A626D" w:rsidRPr="00C05CE3" w:rsidRDefault="008A626D" w:rsidP="00C05CE3">
      <w:pPr>
        <w:overflowPunct/>
        <w:spacing w:after="0"/>
        <w:jc w:val="both"/>
        <w:textAlignment w:val="auto"/>
        <w:rPr>
          <w:color w:val="000000"/>
          <w:sz w:val="17"/>
          <w:szCs w:val="17"/>
          <w:lang w:val="nl-BE" w:eastAsia="nl-BE"/>
        </w:rPr>
      </w:pPr>
      <w:r w:rsidRPr="00C05CE3">
        <w:rPr>
          <w:color w:val="000000"/>
          <w:sz w:val="17"/>
          <w:szCs w:val="17"/>
          <w:lang w:val="nl-BE" w:eastAsia="nl-BE"/>
        </w:rPr>
        <w:t>Om deze te stimuleren een volwaardige daguitstap in West-Vlaanderen te maken, gelden de vervoersonkosten enkel voor het traject in West-Vlaanderen</w:t>
      </w:r>
      <w:r w:rsidR="00DE5F9B">
        <w:rPr>
          <w:color w:val="000000"/>
          <w:sz w:val="17"/>
          <w:szCs w:val="17"/>
          <w:lang w:val="nl-BE" w:eastAsia="nl-BE"/>
        </w:rPr>
        <w:t xml:space="preserve"> (artikel 4)</w:t>
      </w:r>
      <w:r w:rsidR="008B32DA">
        <w:rPr>
          <w:color w:val="000000"/>
          <w:sz w:val="17"/>
          <w:szCs w:val="17"/>
          <w:lang w:val="nl-BE" w:eastAsia="nl-BE"/>
        </w:rPr>
        <w:t>.</w:t>
      </w:r>
    </w:p>
    <w:p w:rsidR="00BE48CD" w:rsidRDefault="00BE48CD" w:rsidP="00BE48CD">
      <w:pPr>
        <w:pStyle w:val="Lijstalinea"/>
        <w:rPr>
          <w:sz w:val="17"/>
          <w:szCs w:val="17"/>
        </w:rPr>
      </w:pPr>
    </w:p>
    <w:p w:rsidR="00B64837" w:rsidRDefault="00B64837" w:rsidP="00005266">
      <w:pPr>
        <w:rPr>
          <w:sz w:val="17"/>
          <w:szCs w:val="17"/>
        </w:rPr>
      </w:pPr>
      <w:r w:rsidRPr="007F488D">
        <w:rPr>
          <w:sz w:val="17"/>
          <w:szCs w:val="17"/>
        </w:rPr>
        <w:t xml:space="preserve">Brugge, </w:t>
      </w:r>
      <w:r w:rsidR="008A626D">
        <w:rPr>
          <w:sz w:val="17"/>
          <w:szCs w:val="17"/>
        </w:rPr>
        <w:t>26 september 2019</w:t>
      </w:r>
    </w:p>
    <w:p w:rsidR="00BE48CD" w:rsidRDefault="00BE48CD" w:rsidP="00005266">
      <w:pPr>
        <w:rPr>
          <w:sz w:val="17"/>
          <w:szCs w:val="17"/>
        </w:rPr>
      </w:pPr>
    </w:p>
    <w:p w:rsidR="00BE48CD" w:rsidRPr="007F488D" w:rsidRDefault="00BE48CD" w:rsidP="00005266">
      <w:pPr>
        <w:rPr>
          <w:sz w:val="17"/>
          <w:szCs w:val="17"/>
        </w:rPr>
      </w:pPr>
      <w:r w:rsidRPr="00BE48CD">
        <w:rPr>
          <w:noProof/>
          <w:sz w:val="17"/>
          <w:szCs w:val="17"/>
          <w:lang w:val="nl-BE" w:eastAsia="nl-BE"/>
        </w:rPr>
        <w:drawing>
          <wp:inline distT="0" distB="0" distL="0" distR="0">
            <wp:extent cx="638447" cy="571500"/>
            <wp:effectExtent l="0" t="0" r="9525" b="0"/>
            <wp:docPr id="1" name="Afbeelding 1" descr="C:\Users\Ben\Dropbox\N-VA Provincie\Fractie\Brievennaarburgers\handtekeningK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ropbox\N-VA Provincie\Fractie\Brievennaarburgers\handtekeningK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08" cy="585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3B" w:rsidRPr="0093483B" w:rsidRDefault="007C18C4" w:rsidP="008653B8">
      <w:pPr>
        <w:rPr>
          <w:sz w:val="17"/>
          <w:szCs w:val="17"/>
        </w:rPr>
      </w:pPr>
      <w:r>
        <w:rPr>
          <w:sz w:val="17"/>
          <w:szCs w:val="17"/>
        </w:rPr>
        <w:t xml:space="preserve">Provincieraadslid </w:t>
      </w:r>
      <w:r w:rsidR="0074236F">
        <w:rPr>
          <w:sz w:val="17"/>
          <w:szCs w:val="17"/>
        </w:rPr>
        <w:t xml:space="preserve">en fractievoorzitter Kristof </w:t>
      </w:r>
      <w:proofErr w:type="spellStart"/>
      <w:r w:rsidR="0074236F">
        <w:rPr>
          <w:sz w:val="17"/>
          <w:szCs w:val="17"/>
        </w:rPr>
        <w:t>Pillaert</w:t>
      </w:r>
      <w:proofErr w:type="spellEnd"/>
    </w:p>
    <w:sectPr w:rsidR="0093483B" w:rsidRPr="0093483B" w:rsidSect="00BA56E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246" w:rsidRDefault="00722246" w:rsidP="00D17CF9">
      <w:r>
        <w:separator/>
      </w:r>
    </w:p>
  </w:endnote>
  <w:endnote w:type="continuationSeparator" w:id="0">
    <w:p w:rsidR="00722246" w:rsidRDefault="00722246" w:rsidP="00D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246" w:rsidRDefault="00722246" w:rsidP="00D17CF9">
      <w:r>
        <w:separator/>
      </w:r>
    </w:p>
  </w:footnote>
  <w:footnote w:type="continuationSeparator" w:id="0">
    <w:p w:rsidR="00722246" w:rsidRDefault="00722246" w:rsidP="00D17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66AA2"/>
    <w:multiLevelType w:val="multilevel"/>
    <w:tmpl w:val="15EC5E62"/>
    <w:lvl w:ilvl="0">
      <w:start w:val="1"/>
      <w:numFmt w:val="decimal"/>
      <w:pStyle w:val="Kop1"/>
      <w:lvlText w:val="Hoofdstuk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" w15:restartNumberingAfterBreak="0">
    <w:nsid w:val="0E9A4DF2"/>
    <w:multiLevelType w:val="hybridMultilevel"/>
    <w:tmpl w:val="0396D8E6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C5EBD"/>
    <w:multiLevelType w:val="hybridMultilevel"/>
    <w:tmpl w:val="58F4210A"/>
    <w:lvl w:ilvl="0" w:tplc="E22646B8">
      <w:start w:val="38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06A8E"/>
    <w:multiLevelType w:val="hybridMultilevel"/>
    <w:tmpl w:val="FEEADFC8"/>
    <w:lvl w:ilvl="0" w:tplc="9984002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6F18CB"/>
    <w:multiLevelType w:val="hybridMultilevel"/>
    <w:tmpl w:val="F1A85FCE"/>
    <w:lvl w:ilvl="0" w:tplc="4F8E7612">
      <w:start w:val="25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F6FB4"/>
    <w:multiLevelType w:val="hybridMultilevel"/>
    <w:tmpl w:val="23E44D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D77B1"/>
    <w:multiLevelType w:val="multilevel"/>
    <w:tmpl w:val="407AFD30"/>
    <w:lvl w:ilvl="0">
      <w:start w:val="1"/>
      <w:numFmt w:val="decimal"/>
      <w:lvlText w:val="Hoofdstuk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7" w15:restartNumberingAfterBreak="0">
    <w:nsid w:val="3A0062C0"/>
    <w:multiLevelType w:val="hybridMultilevel"/>
    <w:tmpl w:val="408CCA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A78D6"/>
    <w:multiLevelType w:val="multilevel"/>
    <w:tmpl w:val="CE9012A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9" w15:restartNumberingAfterBreak="0">
    <w:nsid w:val="518A746A"/>
    <w:multiLevelType w:val="multilevel"/>
    <w:tmpl w:val="CE9012A6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0" w15:restartNumberingAfterBreak="0">
    <w:nsid w:val="599A2AFC"/>
    <w:multiLevelType w:val="hybridMultilevel"/>
    <w:tmpl w:val="6E22AF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3129BC"/>
    <w:multiLevelType w:val="hybridMultilevel"/>
    <w:tmpl w:val="6B5AC1D4"/>
    <w:lvl w:ilvl="0" w:tplc="68E6B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E83B5E"/>
    <w:multiLevelType w:val="hybridMultilevel"/>
    <w:tmpl w:val="770C850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C63D69"/>
    <w:multiLevelType w:val="hybridMultilevel"/>
    <w:tmpl w:val="6EBEE5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D242B"/>
    <w:multiLevelType w:val="multilevel"/>
    <w:tmpl w:val="26B0B43C"/>
    <w:lvl w:ilvl="0">
      <w:start w:val="1"/>
      <w:numFmt w:val="decimal"/>
      <w:lvlText w:val="Hoofdstuk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5" w15:restartNumberingAfterBreak="0">
    <w:nsid w:val="7CA50913"/>
    <w:multiLevelType w:val="multilevel"/>
    <w:tmpl w:val="61A67274"/>
    <w:lvl w:ilvl="0">
      <w:start w:val="1"/>
      <w:numFmt w:val="decimal"/>
      <w:lvlText w:val="Hoofdstuk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16" w15:restartNumberingAfterBreak="0">
    <w:nsid w:val="7CCC7B56"/>
    <w:multiLevelType w:val="multilevel"/>
    <w:tmpl w:val="15EC5E62"/>
    <w:lvl w:ilvl="0">
      <w:start w:val="1"/>
      <w:numFmt w:val="decimal"/>
      <w:lvlText w:val="Hoofdstuk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1"/>
  </w:num>
  <w:num w:numId="5">
    <w:abstractNumId w:val="1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6"/>
  </w:num>
  <w:num w:numId="12">
    <w:abstractNumId w:val="8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3"/>
  </w:num>
  <w:num w:numId="21">
    <w:abstractNumId w:val="2"/>
  </w:num>
  <w:num w:numId="22">
    <w:abstractNumId w:val="4"/>
  </w:num>
  <w:num w:numId="23">
    <w:abstractNumId w:val="13"/>
  </w:num>
  <w:num w:numId="24">
    <w:abstractNumId w:val="7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C02"/>
    <w:rsid w:val="00005266"/>
    <w:rsid w:val="0000611F"/>
    <w:rsid w:val="000202A0"/>
    <w:rsid w:val="0007202D"/>
    <w:rsid w:val="000740CF"/>
    <w:rsid w:val="0009414B"/>
    <w:rsid w:val="00094919"/>
    <w:rsid w:val="000C320C"/>
    <w:rsid w:val="000D3A0E"/>
    <w:rsid w:val="000E4143"/>
    <w:rsid w:val="000F4F08"/>
    <w:rsid w:val="000F745B"/>
    <w:rsid w:val="00102D01"/>
    <w:rsid w:val="001231AC"/>
    <w:rsid w:val="001239AE"/>
    <w:rsid w:val="00126E00"/>
    <w:rsid w:val="0013622A"/>
    <w:rsid w:val="00171A70"/>
    <w:rsid w:val="00185C02"/>
    <w:rsid w:val="00196A28"/>
    <w:rsid w:val="001A1F69"/>
    <w:rsid w:val="001D10B2"/>
    <w:rsid w:val="001F7C5F"/>
    <w:rsid w:val="00200ACF"/>
    <w:rsid w:val="002116C9"/>
    <w:rsid w:val="00215F8B"/>
    <w:rsid w:val="00223EB5"/>
    <w:rsid w:val="00232E3E"/>
    <w:rsid w:val="00234026"/>
    <w:rsid w:val="00257A06"/>
    <w:rsid w:val="002607DE"/>
    <w:rsid w:val="00263EB6"/>
    <w:rsid w:val="00266BF5"/>
    <w:rsid w:val="002A0A63"/>
    <w:rsid w:val="002C601F"/>
    <w:rsid w:val="002C7F74"/>
    <w:rsid w:val="002D264F"/>
    <w:rsid w:val="002D6A0F"/>
    <w:rsid w:val="00310918"/>
    <w:rsid w:val="00332A9A"/>
    <w:rsid w:val="00336019"/>
    <w:rsid w:val="00364CDF"/>
    <w:rsid w:val="0039750A"/>
    <w:rsid w:val="003A7521"/>
    <w:rsid w:val="003C45CF"/>
    <w:rsid w:val="00402E0E"/>
    <w:rsid w:val="004172F1"/>
    <w:rsid w:val="00417D13"/>
    <w:rsid w:val="00434B8D"/>
    <w:rsid w:val="004407CB"/>
    <w:rsid w:val="00447128"/>
    <w:rsid w:val="00470483"/>
    <w:rsid w:val="00477CAD"/>
    <w:rsid w:val="004C17D0"/>
    <w:rsid w:val="004D267B"/>
    <w:rsid w:val="0050409A"/>
    <w:rsid w:val="00512104"/>
    <w:rsid w:val="005221F3"/>
    <w:rsid w:val="00522DBA"/>
    <w:rsid w:val="0054168D"/>
    <w:rsid w:val="00543A02"/>
    <w:rsid w:val="00571232"/>
    <w:rsid w:val="00590307"/>
    <w:rsid w:val="0059637F"/>
    <w:rsid w:val="00596784"/>
    <w:rsid w:val="005973E9"/>
    <w:rsid w:val="005A195C"/>
    <w:rsid w:val="005A1E82"/>
    <w:rsid w:val="005A3A53"/>
    <w:rsid w:val="005D3D77"/>
    <w:rsid w:val="005D5757"/>
    <w:rsid w:val="005F396E"/>
    <w:rsid w:val="005F3E60"/>
    <w:rsid w:val="005F656E"/>
    <w:rsid w:val="006100B4"/>
    <w:rsid w:val="00656914"/>
    <w:rsid w:val="006578EE"/>
    <w:rsid w:val="00673787"/>
    <w:rsid w:val="00697E34"/>
    <w:rsid w:val="006A457A"/>
    <w:rsid w:val="006B3E78"/>
    <w:rsid w:val="006B6AE7"/>
    <w:rsid w:val="006B7B5C"/>
    <w:rsid w:val="006C6A51"/>
    <w:rsid w:val="006E35ED"/>
    <w:rsid w:val="006F5116"/>
    <w:rsid w:val="00713A7C"/>
    <w:rsid w:val="00720C73"/>
    <w:rsid w:val="00722246"/>
    <w:rsid w:val="00737A35"/>
    <w:rsid w:val="0074236F"/>
    <w:rsid w:val="00745434"/>
    <w:rsid w:val="007479AC"/>
    <w:rsid w:val="00752875"/>
    <w:rsid w:val="00765CFF"/>
    <w:rsid w:val="00792C55"/>
    <w:rsid w:val="00796514"/>
    <w:rsid w:val="007A43C7"/>
    <w:rsid w:val="007C18C4"/>
    <w:rsid w:val="007F488D"/>
    <w:rsid w:val="007F5DCA"/>
    <w:rsid w:val="007F732A"/>
    <w:rsid w:val="00800225"/>
    <w:rsid w:val="00802A6A"/>
    <w:rsid w:val="00803819"/>
    <w:rsid w:val="008249EB"/>
    <w:rsid w:val="00833949"/>
    <w:rsid w:val="00842E31"/>
    <w:rsid w:val="00860BE8"/>
    <w:rsid w:val="00861CDA"/>
    <w:rsid w:val="008653B8"/>
    <w:rsid w:val="0086686C"/>
    <w:rsid w:val="00877E81"/>
    <w:rsid w:val="00880578"/>
    <w:rsid w:val="00891B2B"/>
    <w:rsid w:val="008A626D"/>
    <w:rsid w:val="008A6DE7"/>
    <w:rsid w:val="008B32DA"/>
    <w:rsid w:val="008B4863"/>
    <w:rsid w:val="008C3990"/>
    <w:rsid w:val="008F3017"/>
    <w:rsid w:val="009236BD"/>
    <w:rsid w:val="0093483B"/>
    <w:rsid w:val="00934E6D"/>
    <w:rsid w:val="00942091"/>
    <w:rsid w:val="00994529"/>
    <w:rsid w:val="009B3769"/>
    <w:rsid w:val="009D7BBD"/>
    <w:rsid w:val="009E2444"/>
    <w:rsid w:val="009F57D1"/>
    <w:rsid w:val="00A00B96"/>
    <w:rsid w:val="00A04266"/>
    <w:rsid w:val="00A06A98"/>
    <w:rsid w:val="00A3542D"/>
    <w:rsid w:val="00A406C6"/>
    <w:rsid w:val="00A70C71"/>
    <w:rsid w:val="00A70D58"/>
    <w:rsid w:val="00A74C17"/>
    <w:rsid w:val="00A87A3B"/>
    <w:rsid w:val="00A920D4"/>
    <w:rsid w:val="00AC60E1"/>
    <w:rsid w:val="00AE654E"/>
    <w:rsid w:val="00B1740C"/>
    <w:rsid w:val="00B20EE3"/>
    <w:rsid w:val="00B35371"/>
    <w:rsid w:val="00B35D24"/>
    <w:rsid w:val="00B44CC6"/>
    <w:rsid w:val="00B64837"/>
    <w:rsid w:val="00B7092B"/>
    <w:rsid w:val="00B82B02"/>
    <w:rsid w:val="00B8318B"/>
    <w:rsid w:val="00B96E34"/>
    <w:rsid w:val="00BA1F8D"/>
    <w:rsid w:val="00BA3711"/>
    <w:rsid w:val="00BA56ED"/>
    <w:rsid w:val="00BB136A"/>
    <w:rsid w:val="00BB47A6"/>
    <w:rsid w:val="00BD32C1"/>
    <w:rsid w:val="00BE48CD"/>
    <w:rsid w:val="00BE7B2D"/>
    <w:rsid w:val="00BF0069"/>
    <w:rsid w:val="00C05CE3"/>
    <w:rsid w:val="00C12478"/>
    <w:rsid w:val="00C14224"/>
    <w:rsid w:val="00C27F9F"/>
    <w:rsid w:val="00C30D67"/>
    <w:rsid w:val="00C44F78"/>
    <w:rsid w:val="00C474C3"/>
    <w:rsid w:val="00C47AC8"/>
    <w:rsid w:val="00C47C7E"/>
    <w:rsid w:val="00C516C6"/>
    <w:rsid w:val="00C54B00"/>
    <w:rsid w:val="00C66E97"/>
    <w:rsid w:val="00C92DFC"/>
    <w:rsid w:val="00CA3C80"/>
    <w:rsid w:val="00CB5BE8"/>
    <w:rsid w:val="00CE065B"/>
    <w:rsid w:val="00D13F24"/>
    <w:rsid w:val="00D17CF9"/>
    <w:rsid w:val="00D213E8"/>
    <w:rsid w:val="00D31A34"/>
    <w:rsid w:val="00D65D72"/>
    <w:rsid w:val="00D76A9D"/>
    <w:rsid w:val="00D86739"/>
    <w:rsid w:val="00D8793E"/>
    <w:rsid w:val="00DA1C4B"/>
    <w:rsid w:val="00DB1235"/>
    <w:rsid w:val="00DC263A"/>
    <w:rsid w:val="00DC4AA5"/>
    <w:rsid w:val="00DE5F9B"/>
    <w:rsid w:val="00E16A36"/>
    <w:rsid w:val="00E251A9"/>
    <w:rsid w:val="00E805CB"/>
    <w:rsid w:val="00E946F8"/>
    <w:rsid w:val="00EA6059"/>
    <w:rsid w:val="00ED1451"/>
    <w:rsid w:val="00ED1933"/>
    <w:rsid w:val="00ED1C75"/>
    <w:rsid w:val="00EF38C5"/>
    <w:rsid w:val="00F03939"/>
    <w:rsid w:val="00F122E1"/>
    <w:rsid w:val="00F2505F"/>
    <w:rsid w:val="00F43B7D"/>
    <w:rsid w:val="00F44DCA"/>
    <w:rsid w:val="00F57E7E"/>
    <w:rsid w:val="00F609E3"/>
    <w:rsid w:val="00F716F9"/>
    <w:rsid w:val="00F8413E"/>
    <w:rsid w:val="00FB0D45"/>
    <w:rsid w:val="00FC5E6D"/>
    <w:rsid w:val="00FD4959"/>
    <w:rsid w:val="00FD550F"/>
    <w:rsid w:val="00FD5B60"/>
    <w:rsid w:val="00FE47FE"/>
    <w:rsid w:val="00FE5491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A9523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2607DE"/>
    <w:pPr>
      <w:overflowPunct w:val="0"/>
      <w:autoSpaceDE w:val="0"/>
      <w:autoSpaceDN w:val="0"/>
      <w:adjustRightInd w:val="0"/>
      <w:spacing w:after="100"/>
      <w:textAlignment w:val="baseline"/>
    </w:pPr>
    <w:rPr>
      <w:rFonts w:ascii="Verdana" w:hAnsi="Verdana" w:cs="Verdana"/>
      <w:sz w:val="19"/>
      <w:szCs w:val="19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005266"/>
    <w:pPr>
      <w:keepNext/>
      <w:numPr>
        <w:numId w:val="19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05266"/>
    <w:pPr>
      <w:keepNext/>
      <w:numPr>
        <w:ilvl w:val="1"/>
        <w:numId w:val="19"/>
      </w:numPr>
      <w:spacing w:before="4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05266"/>
    <w:pPr>
      <w:keepNext/>
      <w:numPr>
        <w:ilvl w:val="2"/>
        <w:numId w:val="19"/>
      </w:numPr>
      <w:spacing w:before="48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rsid w:val="00005266"/>
    <w:pPr>
      <w:keepNext/>
      <w:spacing w:before="480"/>
      <w:outlineLvl w:val="3"/>
    </w:pPr>
    <w:rPr>
      <w:rFonts w:ascii="Arial" w:hAnsi="Arial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rsid w:val="00005266"/>
    <w:pPr>
      <w:spacing w:before="48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rsid w:val="000052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005266"/>
  </w:style>
  <w:style w:type="paragraph" w:styleId="Koptekst">
    <w:name w:val="header"/>
    <w:basedOn w:val="Standaard"/>
    <w:rsid w:val="00005266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rsid w:val="00005266"/>
    <w:pPr>
      <w:tabs>
        <w:tab w:val="left" w:pos="794"/>
        <w:tab w:val="right" w:leader="dot" w:pos="8891"/>
      </w:tabs>
      <w:spacing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005266"/>
    <w:pPr>
      <w:tabs>
        <w:tab w:val="left" w:pos="794"/>
        <w:tab w:val="right" w:leader="dot" w:pos="8891"/>
      </w:tabs>
    </w:pPr>
  </w:style>
  <w:style w:type="paragraph" w:styleId="Inhopg3">
    <w:name w:val="toc 3"/>
    <w:basedOn w:val="Standaard"/>
    <w:next w:val="Standaard"/>
    <w:autoRedefine/>
    <w:uiPriority w:val="39"/>
    <w:rsid w:val="00005266"/>
    <w:pPr>
      <w:tabs>
        <w:tab w:val="left" w:pos="794"/>
        <w:tab w:val="right" w:leader="dot" w:pos="8891"/>
      </w:tabs>
    </w:pPr>
  </w:style>
  <w:style w:type="character" w:styleId="Hyperlink">
    <w:name w:val="Hyperlink"/>
    <w:basedOn w:val="Standaardalinea-lettertype"/>
    <w:uiPriority w:val="99"/>
    <w:rsid w:val="00005266"/>
    <w:rPr>
      <w:color w:val="0000FF"/>
      <w:u w:val="single"/>
    </w:rPr>
  </w:style>
  <w:style w:type="paragraph" w:styleId="Voetnoottekst">
    <w:name w:val="footnote text"/>
    <w:basedOn w:val="Standaard"/>
    <w:semiHidden/>
    <w:rsid w:val="00005266"/>
    <w:pPr>
      <w:spacing w:after="0"/>
    </w:pPr>
    <w:rPr>
      <w:rFonts w:ascii="Times New Roman" w:hAnsi="Times New Roman"/>
      <w:szCs w:val="20"/>
      <w:lang w:val="nl-BE" w:eastAsia="en-US"/>
    </w:rPr>
  </w:style>
  <w:style w:type="paragraph" w:customStyle="1" w:styleId="opmerking">
    <w:name w:val="opmerking"/>
    <w:basedOn w:val="Standaard"/>
    <w:rsid w:val="00005266"/>
    <w:pPr>
      <w:spacing w:before="240"/>
    </w:pPr>
  </w:style>
  <w:style w:type="character" w:styleId="Voetnootmarkering">
    <w:name w:val="footnote reference"/>
    <w:basedOn w:val="Standaardalinea-lettertype"/>
    <w:semiHidden/>
    <w:rsid w:val="00005266"/>
    <w:rPr>
      <w:vertAlign w:val="superscript"/>
    </w:rPr>
  </w:style>
  <w:style w:type="character" w:customStyle="1" w:styleId="a1">
    <w:name w:val="a1"/>
    <w:basedOn w:val="Standaardalinea-lettertype"/>
    <w:rsid w:val="00005266"/>
    <w:rPr>
      <w:color w:val="008000"/>
    </w:rPr>
  </w:style>
  <w:style w:type="paragraph" w:styleId="Ballontekst">
    <w:name w:val="Balloon Text"/>
    <w:basedOn w:val="Standaard"/>
    <w:link w:val="BallontekstChar"/>
    <w:rsid w:val="0000526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5266"/>
    <w:rPr>
      <w:rFonts w:ascii="Tahoma" w:hAnsi="Tahoma" w:cs="Tahoma"/>
      <w:sz w:val="16"/>
      <w:szCs w:val="16"/>
      <w:lang w:val="nl" w:eastAsia="nl-NL"/>
    </w:rPr>
  </w:style>
  <w:style w:type="paragraph" w:styleId="Lijstalinea">
    <w:name w:val="List Paragraph"/>
    <w:basedOn w:val="Standaard"/>
    <w:uiPriority w:val="34"/>
    <w:qFormat/>
    <w:rsid w:val="0000526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05266"/>
    <w:rPr>
      <w:rFonts w:ascii="Verdana" w:hAnsi="Verdana" w:cs="Verdana"/>
      <w:sz w:val="19"/>
      <w:szCs w:val="19"/>
      <w:lang w:val="nl" w:eastAsia="nl-NL"/>
    </w:rPr>
  </w:style>
  <w:style w:type="table" w:styleId="Tabelraster">
    <w:name w:val="Table Grid"/>
    <w:basedOn w:val="Standaardtabel"/>
    <w:rsid w:val="00005266"/>
    <w:pPr>
      <w:overflowPunct w:val="0"/>
      <w:autoSpaceDE w:val="0"/>
      <w:autoSpaceDN w:val="0"/>
      <w:adjustRightInd w:val="0"/>
      <w:spacing w:after="100"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05266"/>
    <w:rPr>
      <w:rFonts w:ascii="Arial" w:hAnsi="Arial" w:cs="Arial"/>
      <w:b/>
      <w:bCs/>
      <w:kern w:val="32"/>
      <w:sz w:val="32"/>
      <w:szCs w:val="32"/>
      <w:lang w:val="nl" w:eastAsia="nl-NL"/>
    </w:rPr>
  </w:style>
  <w:style w:type="paragraph" w:styleId="Plattetekst">
    <w:name w:val="Body Text"/>
    <w:basedOn w:val="Standaard"/>
    <w:link w:val="PlattetekstChar"/>
    <w:rsid w:val="00005266"/>
    <w:pPr>
      <w:spacing w:after="120"/>
      <w:jc w:val="both"/>
      <w:textAlignment w:val="auto"/>
    </w:pPr>
    <w:rPr>
      <w:rFonts w:cs="Times New Roman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05266"/>
    <w:rPr>
      <w:rFonts w:ascii="Verdana" w:hAnsi="Verdana"/>
      <w:sz w:val="19"/>
      <w:lang w:val="nl" w:eastAsia="nl-NL"/>
    </w:rPr>
  </w:style>
  <w:style w:type="paragraph" w:customStyle="1" w:styleId="Opmaakprofiel1">
    <w:name w:val="Opmaakprofiel1"/>
    <w:basedOn w:val="Standaard"/>
    <w:qFormat/>
    <w:rsid w:val="00005266"/>
    <w:pPr>
      <w:spacing w:before="240" w:after="180"/>
      <w:jc w:val="center"/>
    </w:pPr>
    <w:rPr>
      <w:b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rsid w:val="00005266"/>
    <w:pPr>
      <w:keepNext/>
      <w:pBdr>
        <w:bottom w:val="single" w:sz="8" w:space="4" w:color="4F81BD" w:themeColor="accent1"/>
      </w:pBdr>
      <w:spacing w:before="240" w:after="180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sid w:val="00005266"/>
    <w:rPr>
      <w:rFonts w:ascii="Arial" w:eastAsiaTheme="majorEastAsia" w:hAnsi="Arial" w:cstheme="majorBidi"/>
      <w:b/>
      <w:spacing w:val="5"/>
      <w:kern w:val="28"/>
      <w:sz w:val="36"/>
      <w:szCs w:val="52"/>
      <w:lang w:val="nl" w:eastAsia="nl-NL"/>
    </w:rPr>
  </w:style>
  <w:style w:type="paragraph" w:customStyle="1" w:styleId="Tekst">
    <w:name w:val="Tekst"/>
    <w:basedOn w:val="Standaard"/>
    <w:rsid w:val="00447128"/>
    <w:pPr>
      <w:overflowPunct/>
      <w:autoSpaceDE/>
      <w:autoSpaceDN/>
      <w:adjustRightInd/>
      <w:spacing w:after="200" w:line="240" w:lineRule="exact"/>
      <w:textAlignment w:val="auto"/>
    </w:pPr>
    <w:rPr>
      <w:rFonts w:asciiTheme="minorHAnsi" w:eastAsiaTheme="minorEastAsia" w:hAnsiTheme="minorHAnsi" w:cs="Times New Roman"/>
      <w:sz w:val="22"/>
      <w:szCs w:val="20"/>
      <w:lang w:val="nl" w:eastAsia="en-US" w:bidi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E5F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st-vlaanderen.be/erfgo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west-vlaanderen.be/erfgoed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F93E2-1958-46CD-82A2-26E8BC6B9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5962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2019-09-23T09:18:00Z</dcterms:created>
  <dcterms:modified xsi:type="dcterms:W3CDTF">2019-09-23T14:31:00Z</dcterms:modified>
</cp:coreProperties>
</file>